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color w:val="000000"/>
          <w:kern w:val="0"/>
          <w:sz w:val="44"/>
          <w:szCs w:val="44"/>
        </w:rPr>
      </w:pPr>
    </w:p>
    <w:p>
      <w:pPr>
        <w:jc w:val="center"/>
        <w:rPr>
          <w:rFonts w:ascii="黑体" w:hAnsi="黑体" w:eastAsia="黑体" w:cs="黑体"/>
          <w:color w:val="000000"/>
          <w:kern w:val="0"/>
          <w:sz w:val="44"/>
          <w:szCs w:val="44"/>
        </w:rPr>
      </w:pPr>
    </w:p>
    <w:p>
      <w:pPr>
        <w:jc w:val="center"/>
        <w:rPr>
          <w:sz w:val="44"/>
          <w:szCs w:val="44"/>
        </w:rPr>
      </w:pPr>
    </w:p>
    <w:p>
      <w:pPr>
        <w:keepNext w:val="0"/>
        <w:keepLines w:val="0"/>
        <w:pageBreakBefore w:val="0"/>
        <w:widowControl w:val="0"/>
        <w:kinsoku/>
        <w:wordWrap/>
        <w:overflowPunct/>
        <w:topLinePunct w:val="0"/>
        <w:autoSpaceDE/>
        <w:autoSpaceDN/>
        <w:bidi w:val="0"/>
        <w:adjustRightInd/>
        <w:snapToGrid/>
        <w:spacing w:line="660" w:lineRule="exact"/>
        <w:ind w:left="0" w:leftChars="0" w:firstLine="0" w:firstLineChars="0"/>
        <w:jc w:val="center"/>
        <w:textAlignment w:val="auto"/>
        <w:outlineLvl w:val="0"/>
        <w:rPr>
          <w:rFonts w:hint="eastAsia" w:ascii="方正小标宋简体" w:hAnsi="方正小标宋简体" w:eastAsia="方正小标宋简体" w:cs="方正小标宋简体"/>
          <w:b w:val="0"/>
          <w:bCs w:val="0"/>
          <w:color w:val="000000"/>
          <w:kern w:val="0"/>
          <w:sz w:val="52"/>
          <w:szCs w:val="52"/>
        </w:rPr>
      </w:pPr>
      <w:bookmarkStart w:id="0" w:name="_Toc17527"/>
      <w:r>
        <w:rPr>
          <w:rFonts w:hint="eastAsia" w:ascii="方正小标宋简体" w:hAnsi="方正小标宋简体" w:eastAsia="方正小标宋简体" w:cs="方正小标宋简体"/>
          <w:b w:val="0"/>
          <w:bCs w:val="0"/>
          <w:color w:val="000000"/>
          <w:kern w:val="0"/>
          <w:sz w:val="52"/>
          <w:szCs w:val="52"/>
        </w:rPr>
        <w:t>江夏区高标准农田建设规划</w:t>
      </w:r>
      <w:bookmarkEnd w:id="0"/>
    </w:p>
    <w:p>
      <w:pPr>
        <w:ind w:left="0" w:leftChars="0" w:firstLine="0" w:firstLineChars="0"/>
        <w:jc w:val="center"/>
        <w:rPr>
          <w:rFonts w:hint="eastAsia" w:eastAsia="方正小标宋简体"/>
          <w:lang w:val="en-US" w:eastAsia="zh-CN"/>
        </w:rPr>
      </w:pPr>
      <w:r>
        <w:rPr>
          <w:rFonts w:hint="eastAsia" w:ascii="方正小标宋简体" w:hAnsi="方正小标宋简体" w:eastAsia="方正小标宋简体" w:cs="方正小标宋简体"/>
          <w:b w:val="0"/>
          <w:bCs w:val="0"/>
          <w:color w:val="000000"/>
          <w:kern w:val="0"/>
          <w:sz w:val="36"/>
          <w:szCs w:val="36"/>
        </w:rPr>
        <w:t>（202</w:t>
      </w:r>
      <w:r>
        <w:rPr>
          <w:rFonts w:hint="eastAsia" w:ascii="方正小标宋简体" w:hAnsi="方正小标宋简体" w:eastAsia="方正小标宋简体" w:cs="方正小标宋简体"/>
          <w:b w:val="0"/>
          <w:bCs w:val="0"/>
          <w:color w:val="000000"/>
          <w:kern w:val="0"/>
          <w:sz w:val="36"/>
          <w:szCs w:val="36"/>
          <w:lang w:val="en-US" w:eastAsia="zh-CN"/>
        </w:rPr>
        <w:t>6</w:t>
      </w:r>
      <w:r>
        <w:rPr>
          <w:rFonts w:hint="eastAsia" w:ascii="方正小标宋简体" w:hAnsi="方正小标宋简体" w:eastAsia="方正小标宋简体" w:cs="方正小标宋简体"/>
          <w:b w:val="0"/>
          <w:bCs w:val="0"/>
          <w:color w:val="000000"/>
          <w:kern w:val="0"/>
          <w:sz w:val="36"/>
          <w:szCs w:val="36"/>
        </w:rPr>
        <w:t>-20</w:t>
      </w:r>
      <w:r>
        <w:rPr>
          <w:rFonts w:hint="eastAsia" w:ascii="方正小标宋简体" w:hAnsi="方正小标宋简体" w:eastAsia="方正小标宋简体" w:cs="方正小标宋简体"/>
          <w:b w:val="0"/>
          <w:bCs w:val="0"/>
          <w:color w:val="000000"/>
          <w:kern w:val="0"/>
          <w:sz w:val="36"/>
          <w:szCs w:val="36"/>
          <w:lang w:val="en-US" w:eastAsia="zh-CN"/>
        </w:rPr>
        <w:t>30</w:t>
      </w:r>
      <w:r>
        <w:rPr>
          <w:rFonts w:hint="eastAsia" w:ascii="方正小标宋简体" w:hAnsi="方正小标宋简体" w:eastAsia="方正小标宋简体" w:cs="方正小标宋简体"/>
          <w:b w:val="0"/>
          <w:bCs w:val="0"/>
          <w:color w:val="000000"/>
          <w:kern w:val="0"/>
          <w:sz w:val="36"/>
          <w:szCs w:val="36"/>
        </w:rPr>
        <w:t>年）</w:t>
      </w:r>
      <w:bookmarkStart w:id="180" w:name="_GoBack"/>
      <w:bookmarkEnd w:id="180"/>
    </w:p>
    <w:p>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kern w:val="0"/>
          <w:sz w:val="44"/>
          <w:szCs w:val="44"/>
        </w:rPr>
      </w:pPr>
    </w:p>
    <w:p>
      <w:pPr>
        <w:pStyle w:val="24"/>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黑体" w:hAnsi="黑体" w:eastAsia="黑体" w:cs="黑体"/>
          <w:color w:val="000000"/>
          <w:kern w:val="0"/>
          <w:sz w:val="48"/>
          <w:szCs w:val="48"/>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kern w:val="0"/>
          <w:sz w:val="44"/>
          <w:szCs w:val="44"/>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color w:val="000000"/>
          <w:kern w:val="0"/>
          <w:sz w:val="44"/>
          <w:szCs w:val="44"/>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黑体" w:hAnsi="黑体" w:eastAsia="黑体" w:cs="黑体"/>
          <w:color w:val="000000"/>
          <w:kern w:val="0"/>
          <w:sz w:val="44"/>
          <w:szCs w:val="44"/>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黑体" w:hAnsi="黑体" w:eastAsia="黑体" w:cs="黑体"/>
          <w:color w:val="000000"/>
          <w:kern w:val="0"/>
          <w:sz w:val="44"/>
          <w:szCs w:val="44"/>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黑体" w:hAnsi="黑体" w:eastAsia="黑体" w:cs="黑体"/>
          <w:color w:val="000000"/>
          <w:kern w:val="0"/>
          <w:sz w:val="30"/>
          <w:szCs w:val="30"/>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黑体" w:hAnsi="黑体" w:eastAsia="黑体" w:cs="黑体"/>
          <w:color w:val="000000"/>
          <w:kern w:val="0"/>
          <w:sz w:val="30"/>
          <w:szCs w:val="30"/>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ascii="黑体" w:hAnsi="黑体" w:eastAsia="黑体" w:cs="黑体"/>
          <w:color w:val="000000"/>
          <w:kern w:val="0"/>
          <w:sz w:val="30"/>
          <w:szCs w:val="30"/>
        </w:rPr>
      </w:pPr>
    </w:p>
    <w:p>
      <w:pPr>
        <w:pStyle w:val="24"/>
        <w:keepNext w:val="0"/>
        <w:keepLines w:val="0"/>
        <w:pageBreakBefore w:val="0"/>
        <w:widowControl w:val="0"/>
        <w:kinsoku/>
        <w:wordWrap/>
        <w:overflowPunct/>
        <w:topLinePunct w:val="0"/>
        <w:autoSpaceDE/>
        <w:autoSpaceDN/>
        <w:bidi w:val="0"/>
        <w:adjustRightInd/>
        <w:spacing w:line="240" w:lineRule="auto"/>
        <w:ind w:left="0" w:leftChars="0" w:firstLine="0" w:firstLineChars="0"/>
        <w:jc w:val="center"/>
        <w:textAlignment w:val="auto"/>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b/>
          <w:bCs/>
          <w:color w:val="000000"/>
          <w:kern w:val="0"/>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b/>
          <w:bCs/>
          <w:color w:val="000000"/>
          <w:kern w:val="0"/>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b/>
          <w:bCs/>
          <w:color w:val="000000"/>
          <w:kern w:val="0"/>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黑体" w:hAnsi="黑体" w:eastAsia="黑体" w:cs="黑体"/>
          <w:b/>
          <w:bCs/>
          <w:color w:val="000000"/>
          <w:kern w:val="0"/>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ascii="黑体" w:hAnsi="黑体" w:eastAsia="黑体" w:cs="黑体"/>
          <w:b w:val="0"/>
          <w:bCs w:val="0"/>
          <w:color w:val="000000"/>
          <w:kern w:val="0"/>
          <w:sz w:val="32"/>
          <w:szCs w:val="32"/>
        </w:rPr>
      </w:pPr>
      <w:r>
        <w:rPr>
          <w:rFonts w:hint="eastAsia" w:ascii="黑体" w:hAnsi="黑体" w:eastAsia="黑体" w:cs="黑体"/>
          <w:b w:val="0"/>
          <w:bCs w:val="0"/>
          <w:color w:val="000000"/>
          <w:kern w:val="0"/>
          <w:sz w:val="32"/>
          <w:szCs w:val="32"/>
        </w:rPr>
        <w:t>江夏区农业农村局</w:t>
      </w:r>
    </w:p>
    <w:p>
      <w:pPr>
        <w:ind w:left="0" w:leftChars="0" w:firstLine="0" w:firstLineChars="0"/>
        <w:jc w:val="center"/>
        <w:rPr>
          <w:rFonts w:hint="default" w:eastAsiaTheme="minorEastAsia"/>
          <w:b w:val="0"/>
          <w:bCs w:val="0"/>
          <w:sz w:val="32"/>
          <w:szCs w:val="32"/>
          <w:lang w:val="en-US" w:eastAsia="zh-CN"/>
        </w:rPr>
      </w:pPr>
      <w:r>
        <w:rPr>
          <w:rFonts w:hint="eastAsia" w:ascii="黑体" w:hAnsi="黑体" w:eastAsia="黑体" w:cs="黑体"/>
          <w:b w:val="0"/>
          <w:bCs w:val="0"/>
          <w:color w:val="000000"/>
          <w:kern w:val="0"/>
          <w:sz w:val="32"/>
          <w:szCs w:val="32"/>
          <w:lang w:val="en-US" w:eastAsia="zh-CN"/>
        </w:rPr>
        <w:t>二零二六年六月</w:t>
      </w:r>
    </w:p>
    <w:p>
      <w:pPr>
        <w:ind w:left="0" w:leftChars="0" w:firstLine="0" w:firstLineChars="0"/>
        <w:rPr>
          <w:b/>
          <w:bCs/>
          <w:sz w:val="28"/>
          <w:szCs w:val="28"/>
        </w:rPr>
        <w:sectPr>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sdt>
      <w:sdtPr>
        <w:rPr>
          <w:rFonts w:ascii="宋体" w:hAnsi="宋体" w:eastAsia="宋体" w:cstheme="minorBidi"/>
          <w:b w:val="0"/>
          <w:bCs w:val="0"/>
          <w:kern w:val="2"/>
          <w:sz w:val="21"/>
          <w:szCs w:val="24"/>
          <w:lang w:val="en-US" w:eastAsia="zh-CN" w:bidi="ar-SA"/>
        </w:rPr>
        <w:id w:val="147480313"/>
        <w15:color w:val="DBDBDB"/>
        <w:docPartObj>
          <w:docPartGallery w:val="Table of Contents"/>
          <w:docPartUnique/>
        </w:docPartObj>
      </w:sdtPr>
      <w:sdtEndPr>
        <w:rPr>
          <w:rFonts w:eastAsia="仿宋" w:asciiTheme="minorEastAsia" w:hAnsiTheme="minorEastAsia" w:cstheme="minorEastAsia"/>
          <w:b/>
          <w:bCs w:val="0"/>
          <w:kern w:val="2"/>
          <w:sz w:val="28"/>
          <w:szCs w:val="28"/>
          <w:lang w:val="en-US" w:eastAsia="zh-CN" w:bidi="ar-SA"/>
        </w:rPr>
      </w:sdtEndPr>
      <w:sdtContent>
        <w:p>
          <w:pPr>
            <w:keepNext w:val="0"/>
            <w:keepLines w:val="0"/>
            <w:pageBreakBefore w:val="0"/>
            <w:widowControl w:val="0"/>
            <w:kinsoku/>
            <w:wordWrap/>
            <w:overflowPunct/>
            <w:topLinePunct w:val="0"/>
            <w:autoSpaceDE/>
            <w:autoSpaceDN/>
            <w:bidi w:val="0"/>
            <w:adjustRightInd/>
            <w:snapToGrid/>
            <w:spacing w:line="574" w:lineRule="exact"/>
            <w:ind w:left="0" w:leftChars="0" w:right="0" w:rightChars="0" w:firstLine="0" w:firstLineChars="0"/>
            <w:jc w:val="center"/>
            <w:textAlignment w:val="auto"/>
            <w:rPr>
              <w:rFonts w:hint="eastAsia" w:ascii="黑体" w:hAnsi="黑体" w:eastAsia="黑体" w:cs="黑体"/>
              <w:b w:val="0"/>
              <w:bCs w:val="0"/>
              <w:sz w:val="44"/>
              <w:szCs w:val="44"/>
            </w:rPr>
          </w:pPr>
          <w:r>
            <w:rPr>
              <w:rFonts w:hint="eastAsia" w:ascii="黑体" w:hAnsi="黑体" w:eastAsia="黑体" w:cs="黑体"/>
              <w:b w:val="0"/>
              <w:bCs w:val="0"/>
              <w:sz w:val="44"/>
              <w:szCs w:val="44"/>
            </w:rPr>
            <w:t>目录</w:t>
          </w:r>
        </w:p>
        <w:p>
          <w:pPr>
            <w:pStyle w:val="40"/>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TOC \o "1-2" \h \u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HYPERLINK \l _Toc28462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lang w:val="en-US" w:eastAsia="zh-CN"/>
            </w:rPr>
            <w:t>前言</w:t>
          </w:r>
          <w:r>
            <w:rPr>
              <w:rFonts w:hint="default" w:ascii="Times New Roman" w:hAnsi="Times New Roman" w:eastAsia="仿宋_GB2312" w:cs="Times New Roman"/>
              <w:b/>
              <w:sz w:val="28"/>
              <w:szCs w:val="28"/>
            </w:rPr>
            <w:tab/>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PAGEREF _Toc28462 \h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1</w:t>
          </w:r>
          <w:r>
            <w:rPr>
              <w:rFonts w:hint="default" w:ascii="Times New Roman" w:hAnsi="Times New Roman" w:eastAsia="仿宋_GB2312" w:cs="Times New Roman"/>
              <w:b/>
              <w:sz w:val="28"/>
              <w:szCs w:val="28"/>
            </w:rPr>
            <w:fldChar w:fldCharType="end"/>
          </w:r>
          <w:r>
            <w:rPr>
              <w:rFonts w:hint="default" w:ascii="Times New Roman" w:hAnsi="Times New Roman" w:eastAsia="仿宋_GB2312" w:cs="Times New Roman"/>
              <w:b/>
              <w:sz w:val="28"/>
              <w:szCs w:val="28"/>
            </w:rPr>
            <w:fldChar w:fldCharType="end"/>
          </w:r>
        </w:p>
        <w:p>
          <w:pPr>
            <w:pStyle w:val="40"/>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HYPERLINK \l _Toc20592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lang w:val="en-US" w:eastAsia="zh-CN"/>
            </w:rPr>
            <w:t>第一章发展形势</w:t>
          </w:r>
          <w:r>
            <w:rPr>
              <w:rFonts w:hint="default" w:ascii="Times New Roman" w:hAnsi="Times New Roman" w:eastAsia="仿宋_GB2312" w:cs="Times New Roman"/>
              <w:b/>
              <w:sz w:val="28"/>
              <w:szCs w:val="28"/>
            </w:rPr>
            <w:tab/>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PAGEREF _Toc20592 \h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4</w:t>
          </w:r>
          <w:r>
            <w:rPr>
              <w:rFonts w:hint="default" w:ascii="Times New Roman" w:hAnsi="Times New Roman" w:eastAsia="仿宋_GB2312" w:cs="Times New Roman"/>
              <w:b/>
              <w:sz w:val="28"/>
              <w:szCs w:val="28"/>
            </w:rPr>
            <w:fldChar w:fldCharType="end"/>
          </w:r>
          <w:r>
            <w:rPr>
              <w:rFonts w:hint="default" w:ascii="Times New Roman" w:hAnsi="Times New Roman" w:eastAsia="仿宋_GB2312" w:cs="Times New Roman"/>
              <w:b/>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_Toc9179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一</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江夏区</w:t>
          </w:r>
          <w:r>
            <w:rPr>
              <w:rFonts w:hint="default" w:ascii="Times New Roman" w:hAnsi="Times New Roman" w:eastAsia="仿宋_GB2312" w:cs="Times New Roman"/>
              <w:sz w:val="28"/>
              <w:szCs w:val="28"/>
            </w:rPr>
            <w:t>基本情况</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_Toc9179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_Toc11765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lang w:val="en-US" w:eastAsia="zh-CN"/>
            </w:rPr>
            <w:t>建设现状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_Toc11765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16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_Toc1222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三、</w:t>
          </w:r>
          <w:r>
            <w:rPr>
              <w:rFonts w:hint="default" w:ascii="Times New Roman" w:hAnsi="Times New Roman" w:eastAsia="仿宋_GB2312" w:cs="Times New Roman"/>
              <w:sz w:val="28"/>
              <w:szCs w:val="28"/>
            </w:rPr>
            <w:t>建设成效</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_Toc1222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29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_Toc23140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四、</w:t>
          </w:r>
          <w:r>
            <w:rPr>
              <w:rFonts w:hint="default" w:ascii="Times New Roman" w:hAnsi="Times New Roman" w:eastAsia="仿宋_GB2312" w:cs="Times New Roman"/>
              <w:sz w:val="28"/>
              <w:szCs w:val="28"/>
            </w:rPr>
            <w:t>主要问题</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_Toc23140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_Toc24327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五、</w:t>
          </w:r>
          <w:r>
            <w:rPr>
              <w:rFonts w:hint="default" w:ascii="Times New Roman" w:hAnsi="Times New Roman" w:eastAsia="仿宋_GB2312" w:cs="Times New Roman"/>
              <w:sz w:val="28"/>
              <w:szCs w:val="28"/>
            </w:rPr>
            <w:t>有利条件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_Toc24327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0"/>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HYPERLINK \l _Toc17817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lang w:val="en-US" w:eastAsia="zh-CN"/>
            </w:rPr>
            <w:t>第二章总体要求</w:t>
          </w:r>
          <w:r>
            <w:rPr>
              <w:rFonts w:hint="default" w:ascii="Times New Roman" w:hAnsi="Times New Roman" w:eastAsia="仿宋_GB2312" w:cs="Times New Roman"/>
              <w:b/>
              <w:sz w:val="28"/>
              <w:szCs w:val="28"/>
            </w:rPr>
            <w:tab/>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PAGEREF _Toc17817 \h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34</w:t>
          </w:r>
          <w:r>
            <w:rPr>
              <w:rFonts w:hint="default" w:ascii="Times New Roman" w:hAnsi="Times New Roman" w:eastAsia="仿宋_GB2312" w:cs="Times New Roman"/>
              <w:b/>
              <w:sz w:val="28"/>
              <w:szCs w:val="28"/>
            </w:rPr>
            <w:fldChar w:fldCharType="end"/>
          </w:r>
          <w:r>
            <w:rPr>
              <w:rFonts w:hint="default" w:ascii="Times New Roman" w:hAnsi="Times New Roman" w:eastAsia="仿宋_GB2312" w:cs="Times New Roman"/>
              <w:b/>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_Toc26020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一、</w:t>
          </w:r>
          <w:r>
            <w:rPr>
              <w:rFonts w:hint="default" w:ascii="Times New Roman" w:hAnsi="Times New Roman" w:eastAsia="仿宋_GB2312" w:cs="Times New Roman"/>
              <w:sz w:val="28"/>
              <w:szCs w:val="28"/>
            </w:rPr>
            <w:t>指导思想</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_Toc26020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_Toc14002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二、基本原则</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_Toc14002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_Toc27306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三、编制过程</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_Toc27306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_Toc26954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四、</w:t>
          </w:r>
          <w:r>
            <w:rPr>
              <w:rFonts w:hint="default" w:ascii="Times New Roman" w:hAnsi="Times New Roman" w:eastAsia="仿宋_GB2312" w:cs="Times New Roman"/>
              <w:sz w:val="28"/>
              <w:szCs w:val="28"/>
            </w:rPr>
            <w:t>规划任务</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_Toc26954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38</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_Toc11783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五、</w:t>
          </w:r>
          <w:r>
            <w:rPr>
              <w:rFonts w:hint="default" w:ascii="Times New Roman" w:hAnsi="Times New Roman" w:eastAsia="仿宋_GB2312" w:cs="Times New Roman"/>
              <w:sz w:val="28"/>
              <w:szCs w:val="28"/>
            </w:rPr>
            <w:t>规划依据</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_Toc11783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39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_Toc11624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六、</w:t>
          </w:r>
          <w:r>
            <w:rPr>
              <w:rFonts w:hint="default" w:ascii="Times New Roman" w:hAnsi="Times New Roman" w:eastAsia="仿宋_GB2312" w:cs="Times New Roman"/>
              <w:sz w:val="28"/>
              <w:szCs w:val="28"/>
            </w:rPr>
            <w:t>规划范围</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_Toc11624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_Toc22572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七、</w:t>
          </w:r>
          <w:r>
            <w:rPr>
              <w:rFonts w:hint="default" w:ascii="Times New Roman" w:hAnsi="Times New Roman" w:eastAsia="仿宋_GB2312" w:cs="Times New Roman"/>
              <w:sz w:val="28"/>
              <w:szCs w:val="28"/>
            </w:rPr>
            <w:t>规划时限</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_Toc22572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0"/>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HYPERLINK \l _Toc26654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lang w:val="en-US" w:eastAsia="zh-CN"/>
            </w:rPr>
            <w:t>第三章建设标准和建设内容</w:t>
          </w:r>
          <w:r>
            <w:rPr>
              <w:rFonts w:hint="default" w:ascii="Times New Roman" w:hAnsi="Times New Roman" w:eastAsia="仿宋_GB2312" w:cs="Times New Roman"/>
              <w:b/>
              <w:sz w:val="28"/>
              <w:szCs w:val="28"/>
            </w:rPr>
            <w:tab/>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PAGEREF _Toc26654 \h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41</w:t>
          </w:r>
          <w:r>
            <w:rPr>
              <w:rFonts w:hint="default" w:ascii="Times New Roman" w:hAnsi="Times New Roman" w:eastAsia="仿宋_GB2312" w:cs="Times New Roman"/>
              <w:b/>
              <w:sz w:val="28"/>
              <w:szCs w:val="28"/>
            </w:rPr>
            <w:fldChar w:fldCharType="end"/>
          </w:r>
          <w:r>
            <w:rPr>
              <w:rFonts w:hint="default" w:ascii="Times New Roman" w:hAnsi="Times New Roman" w:eastAsia="仿宋_GB2312" w:cs="Times New Roman"/>
              <w:b/>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_Toc9917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一、田块整治</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_Toc9917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_Toc493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二、农田地力提升</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_Toc493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_Toc17380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三、灌溉与排水</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_Toc17380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_Toc31072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四、田间道路</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_Toc31072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_Toc17652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五、农田防护与生态环境保护</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_Toc17652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48</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widowControl/>
            <w:tabs>
              <w:tab w:val="right" w:leader="dot" w:pos="8309"/>
            </w:tabs>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_Toc17289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六、农田输配电</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_Toc17289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50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sectPr>
              <w:footerReference r:id="rId5"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_Toc29579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七、科技服务</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_Toc29579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51</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_Toc12599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八、管护利用</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_Toc12599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53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0"/>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HYPERLINK \l _Toc1831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lang w:val="en-US" w:eastAsia="zh-CN"/>
            </w:rPr>
            <w:t>第四章建设分区和建设任务</w:t>
          </w:r>
          <w:r>
            <w:rPr>
              <w:rFonts w:hint="default" w:ascii="Times New Roman" w:hAnsi="Times New Roman" w:eastAsia="仿宋_GB2312" w:cs="Times New Roman"/>
              <w:b/>
              <w:sz w:val="28"/>
              <w:szCs w:val="28"/>
            </w:rPr>
            <w:tab/>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PAGEREF _Toc1831 \h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55</w:t>
          </w:r>
          <w:r>
            <w:rPr>
              <w:rFonts w:hint="default" w:ascii="Times New Roman" w:hAnsi="Times New Roman" w:eastAsia="仿宋_GB2312" w:cs="Times New Roman"/>
              <w:b/>
              <w:sz w:val="28"/>
              <w:szCs w:val="28"/>
            </w:rPr>
            <w:fldChar w:fldCharType="end"/>
          </w:r>
          <w:r>
            <w:rPr>
              <w:rFonts w:hint="default" w:ascii="Times New Roman" w:hAnsi="Times New Roman" w:eastAsia="仿宋_GB2312" w:cs="Times New Roman"/>
              <w:b/>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_Toc14576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一、建设分区与建设重点</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_Toc14576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55</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_Toc10371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二、建设任务</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_Toc10371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59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0"/>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HYPERLINK \l _Toc28250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lang w:val="en-US" w:eastAsia="zh-CN"/>
            </w:rPr>
            <w:t>第五章建设监管和后续管护</w:t>
          </w:r>
          <w:r>
            <w:rPr>
              <w:rFonts w:hint="default" w:ascii="Times New Roman" w:hAnsi="Times New Roman" w:eastAsia="仿宋_GB2312" w:cs="Times New Roman"/>
              <w:b/>
              <w:sz w:val="28"/>
              <w:szCs w:val="28"/>
            </w:rPr>
            <w:tab/>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PAGEREF _Toc28250 \h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69</w:t>
          </w:r>
          <w:r>
            <w:rPr>
              <w:rFonts w:hint="default" w:ascii="Times New Roman" w:hAnsi="Times New Roman" w:eastAsia="仿宋_GB2312" w:cs="Times New Roman"/>
              <w:b/>
              <w:sz w:val="28"/>
              <w:szCs w:val="28"/>
            </w:rPr>
            <w:fldChar w:fldCharType="end"/>
          </w:r>
          <w:r>
            <w:rPr>
              <w:rFonts w:hint="default" w:ascii="Times New Roman" w:hAnsi="Times New Roman" w:eastAsia="仿宋_GB2312" w:cs="Times New Roman"/>
              <w:b/>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_Toc27886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一、规范建设管理</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_Toc27886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69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_Toc23560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二、统一上图入库</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_Toc23560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72</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_Toc2411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三、规范竣工验收</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_Toc2411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_Toc8095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四、落实建后管护</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_Toc8095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73</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_Toc5787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五、严格保护利用</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_Toc5787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0"/>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HYPERLINK \l _Toc1742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lang w:val="en-US" w:eastAsia="zh-CN"/>
            </w:rPr>
            <w:t>第六章投资估算和效益分析</w:t>
          </w:r>
          <w:r>
            <w:rPr>
              <w:rFonts w:hint="default" w:ascii="Times New Roman" w:hAnsi="Times New Roman" w:eastAsia="仿宋_GB2312" w:cs="Times New Roman"/>
              <w:b/>
              <w:sz w:val="28"/>
              <w:szCs w:val="28"/>
            </w:rPr>
            <w:tab/>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PAGEREF _Toc1742 \h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79</w:t>
          </w:r>
          <w:r>
            <w:rPr>
              <w:rFonts w:hint="default" w:ascii="Times New Roman" w:hAnsi="Times New Roman" w:eastAsia="仿宋_GB2312" w:cs="Times New Roman"/>
              <w:b/>
              <w:sz w:val="28"/>
              <w:szCs w:val="28"/>
            </w:rPr>
            <w:fldChar w:fldCharType="end"/>
          </w:r>
          <w:r>
            <w:rPr>
              <w:rFonts w:hint="default" w:ascii="Times New Roman" w:hAnsi="Times New Roman" w:eastAsia="仿宋_GB2312" w:cs="Times New Roman"/>
              <w:b/>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_Toc28908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一、投资标准</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_Toc28908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_Toc5090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二、投资估算与资金筹措</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_Toc5090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79</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_Toc4803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三、效益分析</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_Toc4803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0"/>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HYPERLINK \l _Toc31687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lang w:val="en-US" w:eastAsia="zh-CN"/>
            </w:rPr>
            <w:t>第七章实施保障</w:t>
          </w:r>
          <w:r>
            <w:rPr>
              <w:rFonts w:hint="default" w:ascii="Times New Roman" w:hAnsi="Times New Roman" w:eastAsia="仿宋_GB2312" w:cs="Times New Roman"/>
              <w:b/>
              <w:sz w:val="28"/>
              <w:szCs w:val="28"/>
            </w:rPr>
            <w:tab/>
          </w:r>
          <w:r>
            <w:rPr>
              <w:rFonts w:hint="default" w:ascii="Times New Roman" w:hAnsi="Times New Roman" w:eastAsia="仿宋_GB2312" w:cs="Times New Roman"/>
              <w:b/>
              <w:sz w:val="28"/>
              <w:szCs w:val="28"/>
            </w:rPr>
            <w:fldChar w:fldCharType="begin"/>
          </w:r>
          <w:r>
            <w:rPr>
              <w:rFonts w:hint="default" w:ascii="Times New Roman" w:hAnsi="Times New Roman" w:eastAsia="仿宋_GB2312" w:cs="Times New Roman"/>
              <w:b/>
              <w:sz w:val="28"/>
              <w:szCs w:val="28"/>
            </w:rPr>
            <w:instrText xml:space="preserve"> PAGEREF _Toc31687 \h </w:instrText>
          </w:r>
          <w:r>
            <w:rPr>
              <w:rFonts w:hint="default" w:ascii="Times New Roman" w:hAnsi="Times New Roman" w:eastAsia="仿宋_GB2312" w:cs="Times New Roman"/>
              <w:b/>
              <w:sz w:val="28"/>
              <w:szCs w:val="28"/>
            </w:rPr>
            <w:fldChar w:fldCharType="separate"/>
          </w:r>
          <w:r>
            <w:rPr>
              <w:rFonts w:hint="default" w:ascii="Times New Roman" w:hAnsi="Times New Roman" w:eastAsia="仿宋_GB2312" w:cs="Times New Roman"/>
              <w:b/>
              <w:sz w:val="28"/>
              <w:szCs w:val="28"/>
            </w:rPr>
            <w:t>84</w:t>
          </w:r>
          <w:r>
            <w:rPr>
              <w:rFonts w:hint="default" w:ascii="Times New Roman" w:hAnsi="Times New Roman" w:eastAsia="仿宋_GB2312" w:cs="Times New Roman"/>
              <w:b/>
              <w:sz w:val="28"/>
              <w:szCs w:val="28"/>
            </w:rPr>
            <w:fldChar w:fldCharType="end"/>
          </w:r>
          <w:r>
            <w:rPr>
              <w:rFonts w:hint="default" w:ascii="Times New Roman" w:hAnsi="Times New Roman" w:eastAsia="仿宋_GB2312" w:cs="Times New Roman"/>
              <w:b/>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_Toc30960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一、加强组织领导</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_Toc30960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84</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_Toc23875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二、强化资金保障</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_Toc23875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85</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_Toc20373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三、严格规划引领</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_Toc20373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86</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_Toc17075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四、突出科技支撑</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_Toc17075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88</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41"/>
            <w:keepNext w:val="0"/>
            <w:keepLines w:val="0"/>
            <w:pageBreakBefore w:val="0"/>
            <w:tabs>
              <w:tab w:val="right" w:leader="dot" w:pos="8309"/>
            </w:tabs>
            <w:kinsoku/>
            <w:wordWrap/>
            <w:overflowPunct/>
            <w:topLinePunct w:val="0"/>
            <w:autoSpaceDE/>
            <w:autoSpaceDN/>
            <w:bidi w:val="0"/>
            <w:adjustRightInd/>
            <w:snapToGrid/>
            <w:spacing w:line="574"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HYPERLINK \l _Toc21323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lang w:val="en-US" w:eastAsia="zh-CN"/>
            </w:rPr>
            <w:t>五、严格监督考核</w:t>
          </w:r>
          <w:r>
            <w:rPr>
              <w:rFonts w:hint="default" w:ascii="Times New Roman" w:hAnsi="Times New Roman" w:eastAsia="仿宋_GB2312" w:cs="Times New Roman"/>
              <w:sz w:val="28"/>
              <w:szCs w:val="28"/>
            </w:rPr>
            <w:tab/>
          </w:r>
          <w:r>
            <w:rPr>
              <w:rFonts w:hint="default" w:ascii="Times New Roman" w:hAnsi="Times New Roman" w:eastAsia="仿宋_GB2312" w:cs="Times New Roman"/>
              <w:sz w:val="28"/>
              <w:szCs w:val="28"/>
            </w:rPr>
            <w:fldChar w:fldCharType="begin"/>
          </w:r>
          <w:r>
            <w:rPr>
              <w:rFonts w:hint="default" w:ascii="Times New Roman" w:hAnsi="Times New Roman" w:eastAsia="仿宋_GB2312" w:cs="Times New Roman"/>
              <w:sz w:val="28"/>
              <w:szCs w:val="28"/>
            </w:rPr>
            <w:instrText xml:space="preserve"> PAGEREF _Toc21323 \h </w:instrText>
          </w:r>
          <w:r>
            <w:rPr>
              <w:rFonts w:hint="default" w:ascii="Times New Roman" w:hAnsi="Times New Roman" w:eastAsia="仿宋_GB2312" w:cs="Times New Roman"/>
              <w:sz w:val="28"/>
              <w:szCs w:val="28"/>
            </w:rPr>
            <w:fldChar w:fldCharType="separate"/>
          </w:r>
          <w:r>
            <w:rPr>
              <w:rFonts w:hint="default" w:ascii="Times New Roman" w:hAnsi="Times New Roman" w:eastAsia="仿宋_GB2312" w:cs="Times New Roman"/>
              <w:sz w:val="28"/>
              <w:szCs w:val="28"/>
            </w:rPr>
            <w:t>90</w:t>
          </w:r>
          <w:r>
            <w:rPr>
              <w:rFonts w:hint="default" w:ascii="Times New Roman" w:hAnsi="Times New Roman" w:eastAsia="仿宋_GB2312" w:cs="Times New Roman"/>
              <w:sz w:val="28"/>
              <w:szCs w:val="28"/>
            </w:rPr>
            <w:fldChar w:fldCharType="end"/>
          </w:r>
          <w:r>
            <w:rPr>
              <w:rFonts w:hint="default" w:ascii="Times New Roman" w:hAnsi="Times New Roman" w:eastAsia="仿宋_GB2312" w:cs="Times New Roman"/>
              <w:sz w:val="28"/>
              <w:szCs w:val="28"/>
            </w:rPr>
            <w:fldChar w:fldCharType="end"/>
          </w:r>
        </w:p>
        <w:p>
          <w:pPr>
            <w:pStyle w:val="24"/>
            <w:keepNext w:val="0"/>
            <w:keepLines w:val="0"/>
            <w:pageBreakBefore w:val="0"/>
            <w:widowControl w:val="0"/>
            <w:kinsoku/>
            <w:wordWrap/>
            <w:overflowPunct/>
            <w:topLinePunct w:val="0"/>
            <w:autoSpaceDE/>
            <w:autoSpaceDN/>
            <w:bidi w:val="0"/>
            <w:adjustRightInd/>
            <w:snapToGrid/>
            <w:spacing w:after="0" w:line="574" w:lineRule="exact"/>
            <w:jc w:val="left"/>
            <w:textAlignment w:val="auto"/>
            <w:rPr>
              <w:rFonts w:asciiTheme="minorEastAsia" w:hAnsiTheme="minorEastAsia" w:cstheme="minorEastAsia"/>
              <w:sz w:val="28"/>
              <w:szCs w:val="28"/>
            </w:rPr>
          </w:pPr>
          <w:r>
            <w:rPr>
              <w:rFonts w:hint="default" w:ascii="Times New Roman" w:hAnsi="Times New Roman" w:eastAsia="仿宋_GB2312" w:cs="Times New Roman"/>
              <w:b/>
              <w:sz w:val="28"/>
              <w:szCs w:val="28"/>
            </w:rPr>
            <w:fldChar w:fldCharType="end"/>
          </w:r>
        </w:p>
      </w:sdtContent>
    </w:sdt>
    <w:p>
      <w:pPr>
        <w:pStyle w:val="24"/>
        <w:spacing w:line="300" w:lineRule="exact"/>
        <w:ind w:left="288" w:leftChars="103" w:firstLine="0" w:firstLineChars="0"/>
        <w:jc w:val="left"/>
        <w:rPr>
          <w:rFonts w:hint="eastAsia" w:ascii="Times New Roman" w:hAnsi="Times New Roman" w:eastAsia="黑体" w:cs="Times New Roman"/>
          <w:b/>
          <w:bCs/>
          <w:caps/>
          <w:sz w:val="28"/>
          <w:szCs w:val="28"/>
        </w:rPr>
        <w:sectPr>
          <w:footerReference r:id="rId6"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4"/>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eastAsia="仿宋_GB2312" w:cs="Times New Roman"/>
          <w:smallCaps/>
          <w:sz w:val="32"/>
          <w:szCs w:val="32"/>
          <w:highlight w:val="none"/>
          <w:lang w:val="en-US" w:eastAsia="zh-CN"/>
        </w:rPr>
      </w:pPr>
      <w:r>
        <w:rPr>
          <w:rFonts w:hint="default" w:ascii="Times New Roman" w:hAnsi="Times New Roman" w:eastAsia="仿宋_GB2312" w:cs="Times New Roman"/>
          <w:b w:val="0"/>
          <w:bCs w:val="0"/>
          <w:caps/>
          <w:sz w:val="32"/>
          <w:szCs w:val="32"/>
        </w:rPr>
        <w:t>附图：1</w:t>
      </w:r>
      <w:r>
        <w:rPr>
          <w:rFonts w:hint="eastAsia" w:ascii="Times New Roman" w:hAnsi="Times New Roman" w:eastAsia="仿宋_GB2312" w:cs="Times New Roman"/>
          <w:b w:val="0"/>
          <w:bCs w:val="0"/>
          <w:caps/>
          <w:sz w:val="32"/>
          <w:szCs w:val="32"/>
          <w:lang w:val="en-US" w:eastAsia="zh-CN"/>
        </w:rPr>
        <w:t>.</w:t>
      </w:r>
      <w:r>
        <w:rPr>
          <w:rFonts w:hint="default" w:ascii="Times New Roman" w:hAnsi="Times New Roman" w:eastAsia="仿宋_GB2312" w:cs="Times New Roman"/>
          <w:b w:val="0"/>
          <w:bCs w:val="0"/>
          <w:caps/>
          <w:sz w:val="32"/>
          <w:szCs w:val="32"/>
          <w:lang w:val="en-US" w:eastAsia="zh-CN"/>
        </w:rPr>
        <w:t>江</w:t>
      </w:r>
      <w:r>
        <w:rPr>
          <w:rFonts w:hint="default" w:ascii="Times New Roman" w:hAnsi="Times New Roman" w:eastAsia="仿宋_GB2312" w:cs="Times New Roman"/>
          <w:smallCaps/>
          <w:sz w:val="32"/>
          <w:szCs w:val="32"/>
          <w:highlight w:val="none"/>
          <w:lang w:val="en-US" w:eastAsia="zh-CN"/>
        </w:rPr>
        <w:t>夏区</w:t>
      </w:r>
      <w:r>
        <w:rPr>
          <w:rFonts w:hint="eastAsia" w:ascii="Times New Roman" w:hAnsi="Times New Roman" w:eastAsia="仿宋_GB2312" w:cs="Times New Roman"/>
          <w:smallCaps/>
          <w:sz w:val="32"/>
          <w:szCs w:val="32"/>
          <w:highlight w:val="none"/>
          <w:lang w:eastAsia="zh-CN"/>
        </w:rPr>
        <w:t>“</w:t>
      </w:r>
      <w:r>
        <w:rPr>
          <w:rFonts w:hint="default" w:ascii="Times New Roman" w:hAnsi="Times New Roman" w:eastAsia="仿宋_GB2312" w:cs="Times New Roman"/>
          <w:smallCaps/>
          <w:sz w:val="32"/>
          <w:szCs w:val="32"/>
          <w:highlight w:val="none"/>
          <w:lang w:val="en-US" w:eastAsia="zh-CN"/>
        </w:rPr>
        <w:t>十二五</w:t>
      </w:r>
      <w:r>
        <w:rPr>
          <w:rFonts w:hint="eastAsia" w:ascii="Times New Roman" w:hAnsi="Times New Roman" w:eastAsia="仿宋_GB2312" w:cs="Times New Roman"/>
          <w:smallCaps/>
          <w:sz w:val="32"/>
          <w:szCs w:val="32"/>
          <w:highlight w:val="none"/>
          <w:lang w:eastAsia="zh-CN"/>
        </w:rPr>
        <w:t>”</w:t>
      </w:r>
      <w:r>
        <w:rPr>
          <w:rFonts w:hint="default" w:ascii="Times New Roman" w:hAnsi="Times New Roman" w:eastAsia="仿宋_GB2312" w:cs="Times New Roman"/>
          <w:smallCaps/>
          <w:sz w:val="32"/>
          <w:szCs w:val="32"/>
          <w:highlight w:val="none"/>
          <w:lang w:val="en-US" w:eastAsia="zh-CN"/>
        </w:rPr>
        <w:t>以来</w:t>
      </w:r>
      <w:r>
        <w:rPr>
          <w:rFonts w:hint="default" w:ascii="Times New Roman" w:hAnsi="Times New Roman" w:eastAsia="仿宋_GB2312" w:cs="Times New Roman"/>
          <w:smallCaps/>
          <w:sz w:val="32"/>
          <w:szCs w:val="32"/>
          <w:highlight w:val="none"/>
        </w:rPr>
        <w:t>高标准农田建设</w:t>
      </w:r>
      <w:r>
        <w:rPr>
          <w:rFonts w:hint="default" w:ascii="Times New Roman" w:hAnsi="Times New Roman" w:eastAsia="仿宋_GB2312" w:cs="Times New Roman"/>
          <w:smallCaps/>
          <w:sz w:val="32"/>
          <w:szCs w:val="32"/>
          <w:highlight w:val="none"/>
          <w:lang w:val="en-US" w:eastAsia="zh-CN"/>
        </w:rPr>
        <w:t>分布图</w:t>
      </w:r>
    </w:p>
    <w:p>
      <w:pPr>
        <w:pStyle w:val="24"/>
        <w:keepNext w:val="0"/>
        <w:keepLines w:val="0"/>
        <w:pageBreakBefore w:val="0"/>
        <w:widowControl w:val="0"/>
        <w:kinsoku/>
        <w:wordWrap/>
        <w:overflowPunct/>
        <w:topLinePunct w:val="0"/>
        <w:autoSpaceDE/>
        <w:autoSpaceDN/>
        <w:bidi w:val="0"/>
        <w:adjustRightInd/>
        <w:snapToGrid/>
        <w:spacing w:line="560" w:lineRule="exact"/>
        <w:ind w:left="0" w:leftChars="0" w:firstLine="1600" w:firstLineChars="500"/>
        <w:jc w:val="left"/>
        <w:textAlignment w:val="auto"/>
        <w:rPr>
          <w:rFonts w:hint="default" w:ascii="Times New Roman" w:hAnsi="Times New Roman" w:eastAsia="仿宋_GB2312" w:cs="Times New Roman"/>
          <w:smallCaps/>
          <w:sz w:val="32"/>
          <w:szCs w:val="32"/>
        </w:rPr>
      </w:pPr>
      <w:r>
        <w:rPr>
          <w:rFonts w:hint="default" w:ascii="Times New Roman" w:hAnsi="Times New Roman" w:eastAsia="仿宋_GB2312" w:cs="Times New Roman"/>
          <w:smallCaps/>
          <w:sz w:val="32"/>
          <w:szCs w:val="32"/>
        </w:rPr>
        <w:t>2</w:t>
      </w:r>
      <w:r>
        <w:rPr>
          <w:rFonts w:hint="eastAsia" w:ascii="Times New Roman" w:hAnsi="Times New Roman" w:eastAsia="仿宋_GB2312" w:cs="Times New Roman"/>
          <w:smallCaps/>
          <w:sz w:val="32"/>
          <w:szCs w:val="32"/>
          <w:lang w:val="en-US" w:eastAsia="zh-CN"/>
        </w:rPr>
        <w:t>.</w:t>
      </w:r>
      <w:r>
        <w:rPr>
          <w:rFonts w:hint="default" w:ascii="Times New Roman" w:hAnsi="Times New Roman" w:eastAsia="仿宋_GB2312" w:cs="Times New Roman"/>
          <w:smallCaps/>
          <w:sz w:val="32"/>
          <w:szCs w:val="32"/>
          <w:lang w:val="en-US" w:eastAsia="zh-CN"/>
        </w:rPr>
        <w:t>江夏区</w:t>
      </w:r>
      <w:r>
        <w:rPr>
          <w:rFonts w:hint="default" w:ascii="Times New Roman" w:hAnsi="Times New Roman" w:eastAsia="仿宋_GB2312" w:cs="Times New Roman"/>
          <w:smallCaps/>
          <w:sz w:val="32"/>
          <w:szCs w:val="32"/>
        </w:rPr>
        <w:t>耕地上高标准农田建成情况图</w:t>
      </w:r>
    </w:p>
    <w:p>
      <w:pPr>
        <w:pStyle w:val="24"/>
        <w:keepNext w:val="0"/>
        <w:keepLines w:val="0"/>
        <w:pageBreakBefore w:val="0"/>
        <w:widowControl w:val="0"/>
        <w:kinsoku/>
        <w:wordWrap/>
        <w:overflowPunct/>
        <w:topLinePunct w:val="0"/>
        <w:autoSpaceDE/>
        <w:autoSpaceDN/>
        <w:bidi w:val="0"/>
        <w:adjustRightInd/>
        <w:snapToGrid/>
        <w:spacing w:line="560" w:lineRule="exact"/>
        <w:ind w:left="0" w:leftChars="0" w:firstLine="1600" w:firstLineChars="500"/>
        <w:jc w:val="left"/>
        <w:textAlignment w:val="auto"/>
        <w:rPr>
          <w:rFonts w:hint="default" w:ascii="Times New Roman" w:hAnsi="Times New Roman" w:eastAsia="仿宋_GB2312" w:cs="Times New Roman"/>
          <w:smallCaps/>
          <w:sz w:val="32"/>
          <w:szCs w:val="32"/>
        </w:rPr>
      </w:pPr>
      <w:r>
        <w:rPr>
          <w:rFonts w:hint="default" w:ascii="Times New Roman" w:hAnsi="Times New Roman" w:eastAsia="仿宋_GB2312" w:cs="Times New Roman"/>
          <w:smallCaps/>
          <w:sz w:val="32"/>
          <w:szCs w:val="32"/>
          <w:lang w:val="en-US" w:eastAsia="zh-CN"/>
        </w:rPr>
        <w:t>3</w:t>
      </w:r>
      <w:r>
        <w:rPr>
          <w:rFonts w:hint="eastAsia" w:ascii="Times New Roman" w:hAnsi="Times New Roman" w:eastAsia="仿宋_GB2312" w:cs="Times New Roman"/>
          <w:smallCaps/>
          <w:sz w:val="32"/>
          <w:szCs w:val="32"/>
          <w:lang w:val="en-US" w:eastAsia="zh-CN"/>
        </w:rPr>
        <w:t>.</w:t>
      </w:r>
      <w:r>
        <w:rPr>
          <w:rFonts w:hint="default" w:ascii="Times New Roman" w:hAnsi="Times New Roman" w:eastAsia="仿宋_GB2312" w:cs="Times New Roman"/>
          <w:smallCaps/>
          <w:sz w:val="32"/>
          <w:szCs w:val="32"/>
          <w:lang w:val="en-US" w:eastAsia="zh-CN"/>
        </w:rPr>
        <w:t>江夏区</w:t>
      </w:r>
      <w:r>
        <w:rPr>
          <w:rFonts w:hint="eastAsia" w:ascii="Times New Roman" w:hAnsi="Times New Roman" w:eastAsia="仿宋_GB2312" w:cs="Times New Roman"/>
          <w:smallCaps/>
          <w:sz w:val="32"/>
          <w:szCs w:val="32"/>
          <w:lang w:eastAsia="zh-CN"/>
        </w:rPr>
        <w:t>“</w:t>
      </w:r>
      <w:r>
        <w:rPr>
          <w:rFonts w:hint="default" w:ascii="Times New Roman" w:hAnsi="Times New Roman" w:eastAsia="仿宋_GB2312" w:cs="Times New Roman"/>
          <w:smallCaps/>
          <w:sz w:val="32"/>
          <w:szCs w:val="32"/>
        </w:rPr>
        <w:t>两区</w:t>
      </w:r>
      <w:r>
        <w:rPr>
          <w:rFonts w:hint="eastAsia" w:ascii="Times New Roman" w:hAnsi="Times New Roman" w:eastAsia="仿宋_GB2312" w:cs="Times New Roman"/>
          <w:smallCaps/>
          <w:sz w:val="32"/>
          <w:szCs w:val="32"/>
          <w:lang w:eastAsia="zh-CN"/>
        </w:rPr>
        <w:t>”</w:t>
      </w:r>
      <w:r>
        <w:rPr>
          <w:rFonts w:hint="default" w:ascii="Times New Roman" w:hAnsi="Times New Roman" w:eastAsia="仿宋_GB2312" w:cs="Times New Roman"/>
          <w:smallCaps/>
          <w:sz w:val="32"/>
          <w:szCs w:val="32"/>
        </w:rPr>
        <w:t>内高标准农田覆盖情况图</w:t>
      </w:r>
    </w:p>
    <w:p>
      <w:pPr>
        <w:pStyle w:val="24"/>
        <w:spacing w:line="300" w:lineRule="exact"/>
        <w:ind w:left="288" w:leftChars="103" w:firstLine="0" w:firstLineChars="0"/>
        <w:jc w:val="left"/>
        <w:rPr>
          <w:rFonts w:hint="default" w:ascii="Times New Roman" w:hAnsi="Times New Roman" w:eastAsia="仿宋_GB2312" w:cs="Times New Roman"/>
          <w:smallCaps/>
          <w:sz w:val="32"/>
          <w:szCs w:val="32"/>
          <w:lang w:val="en-US" w:eastAsia="zh-CN"/>
        </w:rPr>
      </w:pPr>
    </w:p>
    <w:p>
      <w:pPr>
        <w:pStyle w:val="24"/>
        <w:spacing w:line="300" w:lineRule="exact"/>
        <w:ind w:left="288" w:leftChars="103" w:firstLine="0" w:firstLineChars="0"/>
        <w:jc w:val="left"/>
        <w:rPr>
          <w:rFonts w:hint="default" w:ascii="Times New Roman" w:hAnsi="Times New Roman" w:eastAsia="仿宋_GB2312" w:cs="Times New Roman"/>
          <w:b/>
          <w:bCs/>
          <w:smallCaps/>
          <w:sz w:val="32"/>
          <w:szCs w:val="32"/>
        </w:rPr>
      </w:pPr>
    </w:p>
    <w:p>
      <w:pPr>
        <w:pStyle w:val="3"/>
        <w:spacing w:line="550" w:lineRule="exact"/>
        <w:outlineLvl w:val="9"/>
        <w:rPr>
          <w:rStyle w:val="33"/>
          <w:rFonts w:hint="default" w:ascii="Times New Roman" w:hAnsi="Times New Roman" w:eastAsia="仿宋_GB2312" w:cs="Times New Roman"/>
          <w:color w:val="auto"/>
          <w:sz w:val="32"/>
          <w:szCs w:val="32"/>
          <w:u w:val="none"/>
        </w:rPr>
        <w:sectPr>
          <w:footerReference r:id="rId7"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1" w:name="_Toc45087411"/>
    </w:p>
    <w:bookmarkEnd w:id="1"/>
    <w:p>
      <w:pPr>
        <w:pStyle w:val="3"/>
        <w:keepLines w:val="0"/>
        <w:kinsoku/>
        <w:wordWrap/>
        <w:overflowPunct/>
        <w:topLinePunct w:val="0"/>
        <w:autoSpaceDE/>
        <w:autoSpaceDN/>
        <w:bidi w:val="0"/>
        <w:adjustRightInd/>
        <w:snapToGrid/>
        <w:spacing w:before="0" w:beforeLines="0" w:after="0" w:afterLines="0" w:line="600" w:lineRule="exact"/>
        <w:textAlignment w:val="auto"/>
        <w:rPr>
          <w:rFonts w:hint="eastAsia" w:ascii="方正小标宋简体" w:hAnsi="方正小标宋简体" w:eastAsia="方正小标宋简体" w:cs="方正小标宋简体"/>
          <w:b w:val="0"/>
          <w:bCs/>
          <w:sz w:val="44"/>
          <w:szCs w:val="44"/>
          <w:lang w:val="en-US" w:eastAsia="zh-CN"/>
        </w:rPr>
      </w:pPr>
      <w:bookmarkStart w:id="2" w:name="_Toc29518"/>
      <w:bookmarkStart w:id="3" w:name="_Toc28462"/>
      <w:r>
        <w:rPr>
          <w:rFonts w:hint="eastAsia" w:ascii="方正小标宋简体" w:hAnsi="方正小标宋简体" w:eastAsia="方正小标宋简体" w:cs="方正小标宋简体"/>
          <w:b w:val="0"/>
          <w:bCs/>
          <w:sz w:val="44"/>
          <w:szCs w:val="44"/>
          <w:lang w:val="en-US" w:eastAsia="zh-CN"/>
        </w:rPr>
        <w:t>前言</w:t>
      </w:r>
      <w:bookmarkEnd w:id="2"/>
      <w:bookmarkEnd w:id="3"/>
    </w:p>
    <w:p>
      <w:pPr>
        <w:keepLines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p>
    <w:p>
      <w:pPr>
        <w:keepLines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党中央、国务院始终将高标准农田建设作为保障国家粮食安全的基础性工程。习近平总书记指出中国人的饭碗要牢牢端在自己手里，饭碗主要装中国粮；要求严守耕地保护红线、持续提升耕地地力，持之以恒推进高标准农田提质建设，全面提升工程建设标准与综合质量，打造旱涝保收、高产稳产的永久基本农田。</w:t>
      </w:r>
    </w:p>
    <w:p>
      <w:pPr>
        <w:keepLines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湖北</w:t>
      </w:r>
      <w:r>
        <w:rPr>
          <w:rFonts w:hint="default" w:ascii="Times New Roman" w:hAnsi="Times New Roman" w:eastAsia="仿宋_GB2312" w:cs="Times New Roman"/>
          <w:sz w:val="32"/>
          <w:szCs w:val="32"/>
          <w:highlight w:val="none"/>
        </w:rPr>
        <w:t>省委、省政府认真贯彻落实党中央、国务院决策部署，统筹全省耕地资源与农业发展布局，全域推进高标准农田新建与改造</w:t>
      </w:r>
      <w:r>
        <w:rPr>
          <w:rFonts w:hint="eastAsia" w:eastAsia="仿宋_GB2312" w:cs="Times New Roman"/>
          <w:sz w:val="32"/>
          <w:szCs w:val="32"/>
          <w:highlight w:val="none"/>
          <w:lang w:val="en-US" w:eastAsia="zh-CN"/>
        </w:rPr>
        <w:t>提升</w:t>
      </w:r>
      <w:r>
        <w:rPr>
          <w:rFonts w:hint="default" w:ascii="Times New Roman" w:hAnsi="Times New Roman" w:eastAsia="仿宋_GB2312" w:cs="Times New Roman"/>
          <w:sz w:val="32"/>
          <w:szCs w:val="32"/>
          <w:highlight w:val="none"/>
        </w:rPr>
        <w:t>，持续夯实粮食产能根基，为全省粮食稳产增产提供坚实硬件支撑。武汉市全面落实省级工作要求，逐级分解建设任务、细化实施路径，统筹各区同步推进农田基础设施提档升级。</w:t>
      </w:r>
    </w:p>
    <w:p>
      <w:pPr>
        <w:keepLines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rPr>
        <w:t>当前和今后一个时期，确保国家粮食安全的任务更加艰巨。确保重要农产品特别是粮食供给，是实施乡村振兴战略，加快农业农村现代化的首要政治任务</w:t>
      </w:r>
      <w:r>
        <w:rPr>
          <w:rFonts w:hint="default" w:ascii="Times New Roman" w:hAnsi="Times New Roman" w:eastAsia="仿宋_GB2312" w:cs="Times New Roman"/>
          <w:sz w:val="32"/>
          <w:szCs w:val="32"/>
          <w:highlight w:val="none"/>
        </w:rPr>
        <w:t>。高标准农田建设作为稳定和提升粮食产能、筑牢粮食安全屏障的核心抓手，兼具多重战略价值：一方面，能够补齐农田灌排、道路、防护等农业基础设施短板，提升农田防灾、抗灾、减灾综合能力，集聚农机、良种、社会化服务等现代农业生产要素，助推农业适度规模经营、专业化</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集约化发展，加速农业农村现代化进程；另一方面，能够刚性落实最严格耕地保护制度，稳步提升耕地地力等级，促进水土资源集约节约利用，倒逼农业绿色低碳生产模式落地，推动区域农业实现长效可持续发展。</w:t>
      </w:r>
    </w:p>
    <w:p>
      <w:pPr>
        <w:keepLines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为系统推进农田基础设施提档升级，2021年中央1号文件明确部署实施新一轮高标准农田建设。</w:t>
      </w:r>
      <w:r>
        <w:rPr>
          <w:rFonts w:hint="eastAsia" w:eastAsia="仿宋_GB2312" w:cs="Times New Roman"/>
          <w:sz w:val="32"/>
          <w:szCs w:val="32"/>
          <w:highlight w:val="none"/>
          <w:lang w:val="en-US" w:eastAsia="zh-CN"/>
        </w:rPr>
        <w:t>同</w:t>
      </w:r>
      <w:r>
        <w:rPr>
          <w:rFonts w:hint="default" w:ascii="Times New Roman" w:hAnsi="Times New Roman" w:eastAsia="仿宋_GB2312" w:cs="Times New Roman"/>
          <w:sz w:val="32"/>
          <w:szCs w:val="32"/>
          <w:highlight w:val="none"/>
        </w:rPr>
        <w:t>年8月，国务院批复了《全国高标准农田建设规划（2021-2030年）》，划定全国十年建设总体框架。紧扣国家顶层设计</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2022年4月湖北省农业农村厅印发</w:t>
      </w:r>
      <w:r>
        <w:rPr>
          <w:rFonts w:hint="default" w:ascii="Times New Roman" w:hAnsi="Times New Roman" w:eastAsia="仿宋_GB2312" w:cs="Times New Roman"/>
          <w:sz w:val="32"/>
          <w:szCs w:val="32"/>
          <w:highlight w:val="none"/>
          <w:lang w:val="en-US" w:eastAsia="zh-CN"/>
        </w:rPr>
        <w:t>了</w:t>
      </w:r>
      <w:r>
        <w:rPr>
          <w:rFonts w:hint="default" w:ascii="Times New Roman" w:hAnsi="Times New Roman" w:eastAsia="仿宋_GB2312" w:cs="Times New Roman"/>
          <w:sz w:val="32"/>
          <w:szCs w:val="32"/>
          <w:highlight w:val="none"/>
        </w:rPr>
        <w:t>《湖北省高标准农田建设规划（2022</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2030年）》</w:t>
      </w:r>
      <w:r>
        <w:rPr>
          <w:rFonts w:hint="default" w:ascii="Times New Roman" w:hAnsi="Times New Roman" w:eastAsia="仿宋_GB2312" w:cs="Times New Roman"/>
          <w:sz w:val="32"/>
          <w:szCs w:val="32"/>
          <w:highlight w:val="none"/>
          <w:lang w:eastAsia="zh-CN"/>
        </w:rPr>
        <w:t>，设定全省阶段性建设目标，明确至2025年累计建成高标准农田 4689万亩、2030年累计建成5309万亩。</w:t>
      </w: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武汉市</w:t>
      </w:r>
      <w:r>
        <w:rPr>
          <w:rFonts w:hint="default" w:ascii="Times New Roman" w:hAnsi="Times New Roman" w:eastAsia="仿宋_GB2312" w:cs="Times New Roman"/>
          <w:sz w:val="32"/>
          <w:szCs w:val="32"/>
          <w:highlight w:val="none"/>
        </w:rPr>
        <w:t>农业农村</w:t>
      </w:r>
      <w:r>
        <w:rPr>
          <w:rFonts w:hint="eastAsia" w:eastAsia="仿宋_GB2312" w:cs="Times New Roman"/>
          <w:color w:val="auto"/>
          <w:sz w:val="32"/>
          <w:szCs w:val="32"/>
          <w:highlight w:val="none"/>
          <w:lang w:val="en-US" w:eastAsia="zh-CN"/>
        </w:rPr>
        <w:t>局</w:t>
      </w:r>
      <w:r>
        <w:rPr>
          <w:rFonts w:hint="eastAsia" w:eastAsia="仿宋_GB2312" w:cs="Times New Roman"/>
          <w:sz w:val="32"/>
          <w:szCs w:val="32"/>
          <w:highlight w:val="none"/>
          <w:lang w:val="en-US" w:eastAsia="zh-CN"/>
        </w:rPr>
        <w:t>出台了</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val="en-US" w:eastAsia="zh-CN"/>
        </w:rPr>
        <w:t>武汉市</w:t>
      </w:r>
      <w:r>
        <w:rPr>
          <w:rFonts w:hint="default" w:ascii="Times New Roman" w:hAnsi="Times New Roman" w:eastAsia="仿宋_GB2312" w:cs="Times New Roman"/>
          <w:sz w:val="32"/>
          <w:szCs w:val="32"/>
          <w:highlight w:val="none"/>
        </w:rPr>
        <w:t>高标准农田建设规划（2022</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2030年）》。</w:t>
      </w:r>
    </w:p>
    <w:p>
      <w:pPr>
        <w:keepLines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rPr>
        <w:t>本规划严格遵循自上而下规划传导体系，以《全国高标准农田建设规划（2021-2030年）》《湖北省高标准农田建设规划（2022-2030年）》《武汉市高标准农田建设规划（2022-2030年）》为核心政策依据，同步衔接《江夏区国土空间总体规划（2021-2035年）》《江夏区农业农村现代化发展“十四五”规划》等区级上位空间、产业规划。</w:t>
      </w:r>
      <w:r>
        <w:rPr>
          <w:rFonts w:hint="default" w:ascii="Times New Roman" w:hAnsi="Times New Roman" w:eastAsia="仿宋_GB2312" w:cs="Times New Roman"/>
          <w:sz w:val="32"/>
          <w:szCs w:val="32"/>
        </w:rPr>
        <w:t>编制过程中，工作组开展全域实地调研，系统梳理“十二五”以来全区高标准农田建设成效，客观研判现阶段农田建设发展新形势、新要求，统筹谋划2026至2030年全区高标准农田建设各项工作。</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规划</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完整阐明总体发展要求、建设标准与工程内容、分区布局与分解任务、工程建设全过程监管及建后长效管护、综合效益预判、配套实施保障等核心内容，是今后五年江夏区统筹推进高标准农田项目落地、规范工程实施、强化农田管护的</w:t>
      </w:r>
      <w:r>
        <w:rPr>
          <w:rFonts w:hint="eastAsia" w:eastAsia="仿宋_GB2312" w:cs="Times New Roman"/>
          <w:sz w:val="32"/>
          <w:szCs w:val="32"/>
          <w:lang w:val="en-US" w:eastAsia="zh-CN"/>
        </w:rPr>
        <w:t>重要依据</w:t>
      </w:r>
      <w:r>
        <w:rPr>
          <w:rFonts w:hint="default" w:ascii="Times New Roman" w:hAnsi="Times New Roman" w:eastAsia="仿宋_GB2312" w:cs="Times New Roman"/>
          <w:sz w:val="32"/>
          <w:szCs w:val="32"/>
        </w:rPr>
        <w:t>。</w:t>
      </w:r>
    </w:p>
    <w:p>
      <w:pPr>
        <w:keepLines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本规划</w:t>
      </w:r>
      <w:r>
        <w:rPr>
          <w:rFonts w:hint="eastAsia" w:eastAsia="仿宋_GB2312" w:cs="Times New Roman"/>
          <w:sz w:val="32"/>
          <w:szCs w:val="32"/>
          <w:highlight w:val="none"/>
          <w:lang w:val="en-US" w:eastAsia="zh-CN"/>
        </w:rPr>
        <w:t>实施</w:t>
      </w:r>
      <w:r>
        <w:rPr>
          <w:rFonts w:hint="default" w:ascii="Times New Roman" w:hAnsi="Times New Roman" w:eastAsia="仿宋_GB2312" w:cs="Times New Roman"/>
          <w:sz w:val="32"/>
          <w:szCs w:val="32"/>
          <w:highlight w:val="none"/>
        </w:rPr>
        <w:t>期为202</w:t>
      </w:r>
      <w:r>
        <w:rPr>
          <w:rFonts w:hint="default" w:ascii="Times New Roman" w:hAnsi="Times New Roman" w:eastAsia="仿宋_GB2312" w:cs="Times New Roman"/>
          <w:sz w:val="32"/>
          <w:szCs w:val="32"/>
          <w:highlight w:val="none"/>
          <w:lang w:val="en-US" w:eastAsia="zh-CN"/>
        </w:rPr>
        <w:t>6</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2030年，规划基准年为202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年，规划目标年为2030年。</w:t>
      </w:r>
    </w:p>
    <w:p>
      <w:pPr>
        <w:pStyle w:val="5"/>
        <w:bidi w:val="0"/>
        <w:outlineLvl w:val="9"/>
        <w:rPr>
          <w:rFonts w:hint="eastAsia"/>
        </w:rPr>
        <w:sectPr>
          <w:footerReference r:id="rId8"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i w:val="0"/>
          <w:iCs w:val="0"/>
          <w:color w:val="000000"/>
          <w:kern w:val="2"/>
          <w:sz w:val="44"/>
          <w:szCs w:val="44"/>
          <w:lang w:val="en-US" w:eastAsia="zh-CN" w:bidi="ar-SA"/>
        </w:rPr>
      </w:pPr>
      <w:bookmarkStart w:id="4" w:name="_Toc15104"/>
      <w:bookmarkStart w:id="5" w:name="_Toc20592"/>
      <w:r>
        <w:rPr>
          <w:rFonts w:hint="eastAsia" w:ascii="方正小标宋简体" w:hAnsi="方正小标宋简体" w:eastAsia="方正小标宋简体" w:cs="方正小标宋简体"/>
          <w:i w:val="0"/>
          <w:iCs w:val="0"/>
          <w:color w:val="000000"/>
          <w:kern w:val="2"/>
          <w:sz w:val="44"/>
          <w:szCs w:val="44"/>
          <w:lang w:val="en-US" w:eastAsia="zh-CN" w:bidi="ar-SA"/>
        </w:rPr>
        <w:t>第一章发展形势</w:t>
      </w:r>
      <w:bookmarkEnd w:id="4"/>
      <w:bookmarkEnd w:id="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bookmarkStart w:id="6" w:name="_Toc9179"/>
      <w:bookmarkStart w:id="7" w:name="_Toc755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fldChar w:fldCharType="begin"/>
      </w:r>
      <w:r>
        <w:rPr>
          <w:rFonts w:hint="eastAsia" w:ascii="黑体" w:hAnsi="黑体" w:eastAsia="黑体" w:cs="黑体"/>
          <w:color w:val="000000"/>
          <w:kern w:val="2"/>
          <w:sz w:val="32"/>
          <w:szCs w:val="32"/>
          <w:lang w:val="en-US" w:eastAsia="zh-CN" w:bidi="ar-SA"/>
        </w:rPr>
        <w:instrText xml:space="preserve"> HYPERLINK \l "_Toc488154043" </w:instrText>
      </w:r>
      <w:r>
        <w:rPr>
          <w:rFonts w:hint="eastAsia" w:ascii="黑体" w:hAnsi="黑体" w:eastAsia="黑体" w:cs="黑体"/>
          <w:color w:val="000000"/>
          <w:kern w:val="2"/>
          <w:sz w:val="32"/>
          <w:szCs w:val="32"/>
          <w:lang w:val="en-US" w:eastAsia="zh-CN" w:bidi="ar-SA"/>
        </w:rPr>
        <w:fldChar w:fldCharType="separate"/>
      </w:r>
      <w:r>
        <w:rPr>
          <w:rFonts w:hint="eastAsia" w:ascii="黑体" w:hAnsi="黑体" w:eastAsia="黑体" w:cs="黑体"/>
          <w:color w:val="000000"/>
          <w:kern w:val="2"/>
          <w:sz w:val="32"/>
          <w:szCs w:val="32"/>
          <w:lang w:val="en-US" w:eastAsia="zh-CN" w:bidi="ar-SA"/>
        </w:rPr>
        <w:t>一、</w:t>
      </w:r>
      <w:r>
        <w:rPr>
          <w:rFonts w:hint="eastAsia" w:ascii="黑体" w:hAnsi="黑体" w:eastAsia="黑体" w:cs="黑体"/>
          <w:color w:val="000000"/>
          <w:kern w:val="2"/>
          <w:sz w:val="32"/>
          <w:szCs w:val="32"/>
          <w:lang w:val="en-US" w:eastAsia="zh-CN" w:bidi="ar-SA"/>
        </w:rPr>
        <w:fldChar w:fldCharType="end"/>
      </w:r>
      <w:r>
        <w:rPr>
          <w:rFonts w:hint="eastAsia" w:ascii="黑体" w:hAnsi="黑体" w:eastAsia="黑体" w:cs="黑体"/>
          <w:color w:val="000000"/>
          <w:kern w:val="2"/>
          <w:sz w:val="32"/>
          <w:szCs w:val="32"/>
          <w:lang w:val="en-US" w:eastAsia="zh-CN" w:bidi="ar-SA"/>
        </w:rPr>
        <w:t>江夏区基本情况</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楷体_GB2312" w:cs="Times New Roman"/>
          <w:color w:val="000000"/>
          <w:kern w:val="2"/>
          <w:sz w:val="32"/>
          <w:szCs w:val="32"/>
          <w:lang w:val="en-US" w:eastAsia="zh-CN" w:bidi="ar-SA"/>
        </w:rPr>
      </w:pPr>
      <w:bookmarkStart w:id="8" w:name="_Toc31317"/>
      <w:r>
        <w:rPr>
          <w:rFonts w:hint="eastAsia" w:ascii="Times New Roman" w:hAnsi="Times New Roman" w:eastAsia="楷体_GB2312" w:cs="Times New Roman"/>
          <w:color w:val="000000"/>
          <w:kern w:val="2"/>
          <w:sz w:val="32"/>
          <w:szCs w:val="32"/>
          <w:lang w:val="en-US" w:eastAsia="zh-CN" w:bidi="ar-SA"/>
        </w:rPr>
        <w:t>（一）区位条件</w:t>
      </w:r>
      <w:bookmarkEnd w:id="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bookmarkStart w:id="9" w:name="_Toc120586856"/>
      <w:bookmarkStart w:id="10" w:name="_Toc155928304"/>
      <w:bookmarkStart w:id="11" w:name="_Toc156721534"/>
      <w:bookmarkStart w:id="12" w:name="_Toc156920754"/>
      <w:bookmarkStart w:id="13" w:name="_Toc156720668"/>
      <w:r>
        <w:rPr>
          <w:rFonts w:hint="eastAsia" w:ascii="Times New Roman" w:hAnsi="Times New Roman" w:eastAsia="仿宋_GB2312" w:cs="Times New Roman"/>
          <w:color w:val="000000"/>
          <w:kern w:val="2"/>
          <w:sz w:val="32"/>
          <w:szCs w:val="32"/>
          <w:lang w:val="en-US" w:eastAsia="zh-CN" w:bidi="ar-SA"/>
        </w:rPr>
        <w:t>江夏区地处九省通衢的武汉市南大门，素有“楚天首县”之誉，东接鄂州，南通咸宁，西临长江，北连武汉东湖高新技术开发区，“武汉-中国光谷”规划区域大部分在江夏区境内。江夏是武汉城市居民和周边城市居民近郊休闲度假的重要目的地</w:t>
      </w:r>
      <w:r>
        <w:rPr>
          <w:rFonts w:hint="eastAsia" w:eastAsia="仿宋_GB2312" w:cs="Times New Roman"/>
          <w:color w:val="000000"/>
          <w:kern w:val="2"/>
          <w:sz w:val="32"/>
          <w:szCs w:val="32"/>
          <w:lang w:val="en-US" w:eastAsia="zh-CN" w:bidi="ar-SA"/>
        </w:rPr>
        <w:t>，</w:t>
      </w:r>
      <w:r>
        <w:rPr>
          <w:rFonts w:hint="eastAsia" w:eastAsia="仿宋_GB2312" w:cs="Times New Roman"/>
          <w:color w:val="000000"/>
          <w:kern w:val="2"/>
          <w:sz w:val="32"/>
          <w:szCs w:val="32"/>
          <w:highlight w:val="none"/>
          <w:lang w:val="en-US" w:eastAsia="zh-CN" w:bidi="ar-SA"/>
        </w:rPr>
        <w:t>是武汉都市圈近郊休闲农业、都市现代农业发展的重点区域。</w:t>
      </w:r>
      <w:r>
        <w:rPr>
          <w:rFonts w:hint="eastAsia" w:ascii="Times New Roman" w:hAnsi="Times New Roman" w:eastAsia="仿宋_GB2312" w:cs="Times New Roman"/>
          <w:color w:val="000000"/>
          <w:kern w:val="2"/>
          <w:sz w:val="32"/>
          <w:szCs w:val="32"/>
          <w:highlight w:val="none"/>
          <w:lang w:val="en-US" w:eastAsia="zh-CN" w:bidi="ar-SA"/>
        </w:rPr>
        <w:t>随着四环高速、地铁、城际铁路等快速交通线通车，便捷的交通网络</w:t>
      </w:r>
      <w:bookmarkStart w:id="14" w:name="_Toc821"/>
      <w:r>
        <w:rPr>
          <w:rFonts w:hint="eastAsia" w:ascii="Times New Roman" w:hAnsi="Times New Roman" w:eastAsia="仿宋_GB2312" w:cs="Times New Roman"/>
          <w:color w:val="000000"/>
          <w:kern w:val="2"/>
          <w:sz w:val="32"/>
          <w:szCs w:val="32"/>
          <w:highlight w:val="none"/>
          <w:lang w:val="en-US" w:eastAsia="zh-CN" w:bidi="ar-SA"/>
        </w:rPr>
        <w:t>全面成型，交通通达性</w:t>
      </w:r>
      <w:r>
        <w:rPr>
          <w:rFonts w:hint="eastAsia" w:eastAsia="仿宋_GB2312" w:cs="Times New Roman"/>
          <w:color w:val="000000"/>
          <w:kern w:val="2"/>
          <w:sz w:val="32"/>
          <w:szCs w:val="32"/>
          <w:highlight w:val="none"/>
          <w:lang w:val="en-US" w:eastAsia="zh-CN" w:bidi="ar-SA"/>
        </w:rPr>
        <w:t>高</w:t>
      </w:r>
      <w:r>
        <w:rPr>
          <w:rFonts w:hint="eastAsia" w:ascii="Times New Roman" w:hAnsi="Times New Roman" w:eastAsia="仿宋_GB2312" w:cs="Times New Roman"/>
          <w:color w:val="000000"/>
          <w:kern w:val="2"/>
          <w:sz w:val="32"/>
          <w:szCs w:val="32"/>
          <w:highlight w:val="none"/>
          <w:lang w:val="en-US" w:eastAsia="zh-CN" w:bidi="ar-SA"/>
        </w:rPr>
        <w:t>，为农业规模化发展、农田项目建设运维、农产品产销流通奠定了良好交通基础。</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随着武汉市城市空间向南拓展，江夏区与武汉主城、东湖高新区的联动融合持续深化，逐步成为区域产业与经济联动发展的重要枢纽。东湖高新区国家级高新产业集聚优势，区域高端产业、人才、资源加速外溢，为江夏区现代都市农业转型升级、高标准农田规模化连片建设、农业新业态培育提供了绝佳区位条件与发展机遇，是现阶段武汉市农业现代化与高标准农田提质建设的重点片区。</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楷体_GB2312" w:cs="Times New Roman"/>
          <w:color w:val="000000"/>
          <w:kern w:val="2"/>
          <w:sz w:val="32"/>
          <w:szCs w:val="32"/>
          <w:lang w:val="en-US" w:eastAsia="zh-CN" w:bidi="ar-SA"/>
        </w:rPr>
      </w:pPr>
      <w:r>
        <w:rPr>
          <w:rFonts w:hint="eastAsia" w:ascii="Times New Roman" w:hAnsi="Times New Roman" w:eastAsia="楷体_GB2312" w:cs="Times New Roman"/>
          <w:color w:val="000000"/>
          <w:kern w:val="2"/>
          <w:sz w:val="32"/>
          <w:szCs w:val="32"/>
          <w:lang w:val="en-US" w:eastAsia="zh-CN" w:bidi="ar-SA"/>
        </w:rPr>
        <w:t>（二）自然条件</w:t>
      </w:r>
      <w:bookmarkEnd w:id="1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1.气候条件</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eastAsia="仿宋_GB2312" w:cs="Times New Roman"/>
          <w:color w:val="000000"/>
          <w:kern w:val="2"/>
          <w:sz w:val="32"/>
          <w:szCs w:val="32"/>
          <w:highlight w:val="none"/>
          <w:lang w:val="en-US" w:eastAsia="zh-CN" w:bidi="ar-SA"/>
        </w:rPr>
        <w:t>江夏</w:t>
      </w:r>
      <w:r>
        <w:rPr>
          <w:rFonts w:hint="eastAsia" w:ascii="Times New Roman" w:hAnsi="Times New Roman" w:eastAsia="仿宋_GB2312" w:cs="Times New Roman"/>
          <w:color w:val="000000"/>
          <w:kern w:val="2"/>
          <w:sz w:val="32"/>
          <w:szCs w:val="32"/>
          <w:highlight w:val="none"/>
          <w:lang w:val="en-US" w:eastAsia="zh-CN" w:bidi="ar-SA"/>
        </w:rPr>
        <w:t>区属中亚热带过渡的湿润季风气候，四季分明，无霜期长，寒暑期短。区境多年平均日照时数1807.8小时，年日照时数最大值2233.7小时（1978年），年日照时数最小值1373.7小时（2003年）。区境冬以北风、东北风为主，夏以东南风、西南风为常，春以东北、西南、东南风间杂，秋以偏北风见长，历年平均风速2.9/每秒，最大风速19/每秒。区境近30年的平均气温16.2℃至17.9℃，历年平均值为16.8℃，最高年平均气温18.3℃（2013年），最低年平均气温15.9℃（1969年）。区境年总降水量的最低值和最高值分别为888.7毫米（1963年）、2032.6毫米（2010年），历年平均降水量1330.9毫米。</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2.地形地貌</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江夏区</w:t>
      </w:r>
      <w:r>
        <w:rPr>
          <w:rFonts w:hint="eastAsia" w:eastAsia="仿宋_GB2312" w:cs="Times New Roman"/>
          <w:color w:val="000000"/>
          <w:kern w:val="2"/>
          <w:sz w:val="32"/>
          <w:szCs w:val="32"/>
          <w:highlight w:val="none"/>
          <w:lang w:val="en-US" w:eastAsia="zh-CN" w:bidi="ar-SA"/>
        </w:rPr>
        <w:t>地处</w:t>
      </w:r>
      <w:r>
        <w:rPr>
          <w:rFonts w:hint="eastAsia" w:ascii="Times New Roman" w:hAnsi="Times New Roman" w:eastAsia="仿宋_GB2312" w:cs="Times New Roman"/>
          <w:color w:val="000000"/>
          <w:kern w:val="2"/>
          <w:sz w:val="32"/>
          <w:szCs w:val="32"/>
          <w:highlight w:val="none"/>
          <w:lang w:val="en-US" w:eastAsia="zh-CN" w:bidi="ar-SA"/>
        </w:rPr>
        <w:t>江汉平原向鄂南丘陵过渡地段。地形格局特征鲜明，整体呈现</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中部高，西靠长江，东向湖区缓斜</w:t>
      </w:r>
      <w:r>
        <w:rPr>
          <w:rFonts w:hint="eastAsia" w:eastAsia="仿宋_GB2312" w:cs="Times New Roman"/>
          <w:color w:val="000000"/>
          <w:kern w:val="2"/>
          <w:sz w:val="32"/>
          <w:szCs w:val="32"/>
          <w:highlight w:val="none"/>
          <w:lang w:val="en-US" w:eastAsia="zh-CN" w:bidi="ar-SA"/>
        </w:rPr>
        <w:t>”的态势</w:t>
      </w:r>
      <w:r>
        <w:rPr>
          <w:rFonts w:hint="eastAsia" w:ascii="Times New Roman" w:hAnsi="Times New Roman" w:eastAsia="仿宋_GB2312" w:cs="Times New Roman"/>
          <w:color w:val="000000"/>
          <w:kern w:val="2"/>
          <w:sz w:val="32"/>
          <w:szCs w:val="32"/>
          <w:highlight w:val="none"/>
          <w:lang w:val="en-US" w:eastAsia="zh-CN" w:bidi="ar-SA"/>
        </w:rPr>
        <w:t>。地形地貌的差异化分布，直接决定了区域高标准农田分区建设、工程布局的差异化需求。其中，北部区域以丘陵地形为主，呈东西向带状分布，镶嵌于网状平原与冲积平原之间；西部为滨湖平原地貌，地面高程普遍在20-40米，地势平缓，适宜连片农田开发与规模化种植；中部、北部零散分布海拔150米左右岗丘。</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境内山体资源丰富，共有大小山体118座，其中海拔100米以上山体52座，区域最高点八分山海拔272.3米。复杂多样的地形地貌，造就了江夏区农田“岗地、平原、湖区”交错分布的格局，既为多元化农业生产提供了基础条件，也对农田灌排系统、田间道路、水土保持等高标准农田配套工程建设提出了差异化、精细化建设要求。</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3.土壤状况</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highlight w:val="none"/>
          <w:lang w:val="en-US" w:eastAsia="zh-CN" w:bidi="ar-SA"/>
        </w:rPr>
        <w:t>依</w:t>
      </w:r>
      <w:r>
        <w:rPr>
          <w:rFonts w:hint="eastAsia" w:ascii="Times New Roman" w:hAnsi="Times New Roman" w:eastAsia="仿宋_GB2312" w:cs="Times New Roman"/>
          <w:color w:val="000000"/>
          <w:kern w:val="2"/>
          <w:sz w:val="32"/>
          <w:szCs w:val="32"/>
          <w:highlight w:val="none"/>
          <w:lang w:val="en-US" w:eastAsia="zh-CN" w:bidi="ar-SA"/>
        </w:rPr>
        <w:t>据第二</w:t>
      </w:r>
      <w:r>
        <w:rPr>
          <w:rFonts w:hint="eastAsia" w:ascii="Times New Roman" w:hAnsi="Times New Roman" w:eastAsia="仿宋_GB2312" w:cs="Times New Roman"/>
          <w:color w:val="000000"/>
          <w:kern w:val="2"/>
          <w:sz w:val="32"/>
          <w:szCs w:val="32"/>
          <w:lang w:val="en-US" w:eastAsia="zh-CN" w:bidi="ar-SA"/>
        </w:rPr>
        <w:t>次土壤普查结果表明，全区土壤共分六个土类、十二个亚类、三十五个土属、九十三个土种。水稻土以潴育型黄棕壤性黄泥田为主，为双季稻和一季稻混栽区；旱地大部分为红土，主产小麦，棉花和瓜类等；林地以红土为主，适用于各种江南树种和种植各种经济作物；部分潮土分布在西部平原。水田种植双季稻，旱地以麦、棉、花生为主。</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lang w:val="en-US" w:eastAsia="zh-CN" w:bidi="ar-SA"/>
        </w:rPr>
        <w:t>全区耕地土壤质地大部分为中壤偏重，土壤容重一般在1.0-1.4克/立方厘米之间，酸碱度中性偏酸，代换量大部分在10-20me/100克土之间，有机质和全钾含量较高，全氮含量一般，全磷含量较低，速效</w:t>
      </w:r>
      <w:r>
        <w:rPr>
          <w:rFonts w:hint="eastAsia" w:eastAsia="仿宋_GB2312" w:cs="Times New Roman"/>
          <w:color w:val="000000"/>
          <w:kern w:val="2"/>
          <w:sz w:val="32"/>
          <w:szCs w:val="32"/>
          <w:highlight w:val="none"/>
          <w:lang w:val="en-US" w:eastAsia="zh-CN" w:bidi="ar-SA"/>
        </w:rPr>
        <w:t>养分</w:t>
      </w:r>
      <w:r>
        <w:rPr>
          <w:rFonts w:hint="eastAsia" w:ascii="Times New Roman" w:hAnsi="Times New Roman" w:eastAsia="仿宋_GB2312" w:cs="Times New Roman"/>
          <w:color w:val="000000"/>
          <w:kern w:val="2"/>
          <w:sz w:val="32"/>
          <w:szCs w:val="32"/>
          <w:highlight w:val="none"/>
          <w:lang w:val="en-US" w:eastAsia="zh-CN" w:bidi="ar-SA"/>
        </w:rPr>
        <w:t>含量也不高。总的来说，土壤普遍缺氮，严重缺磷，半数缺钾。同时，区域耕地存在四类典型障碍因子，分别是丘陵冲垅中下部次生潜育化、平湖区冷浸烂泥、小平畈侧渗漂洗、岗岭丘坡土壤酸瘦粘薄问题。上述土壤短板是本轮高标准农田地力提升、土壤改良、耕地质量提质改造的核心整治重点。</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4.水资源</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江夏区水系发达、水网密布，江河湖泊纵横交错，水资源禀赋优越，为全域农田灌溉、农业生产用水提供了充足水源保障，是区域高标准农田实现旱涝保收、稳产高产的核心资源优势。全区水域面积94.8万亩，主要水域有长江江夏段、金水河、斧头湖、梁子湖、牛山湖、鲁湖和内外汤逊湖</w:t>
      </w:r>
      <w:r>
        <w:rPr>
          <w:rFonts w:hint="eastAsia" w:eastAsia="仿宋_GB2312" w:cs="Times New Roman"/>
          <w:color w:val="000000"/>
          <w:kern w:val="2"/>
          <w:sz w:val="32"/>
          <w:szCs w:val="32"/>
          <w:highlight w:val="none"/>
          <w:lang w:val="en-US" w:eastAsia="zh-CN" w:bidi="ar-SA"/>
        </w:rPr>
        <w:t>等骨干水系</w:t>
      </w:r>
      <w:r>
        <w:rPr>
          <w:rFonts w:hint="eastAsia"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长江从江夏区西北边境流过，境内流程31.5公里。</w:t>
      </w:r>
      <w:r>
        <w:rPr>
          <w:rFonts w:hint="eastAsia" w:ascii="Times New Roman" w:hAnsi="Times New Roman" w:eastAsia="仿宋_GB2312" w:cs="Times New Roman"/>
          <w:color w:val="000000"/>
          <w:kern w:val="2"/>
          <w:sz w:val="32"/>
          <w:szCs w:val="32"/>
          <w:lang w:val="en-US" w:eastAsia="zh-CN" w:bidi="ar-SA"/>
        </w:rPr>
        <w:t>金水河发源于通山县，经咸安区流入本区，境内流程42公里，最终经金水闸排入长江，平均流速为0.4m/s，平均流量53.2m3/s，在本区境内汇流面积184平方公里。斧头湖位于江夏区西南与咸宁交界处，境内面积为54.9平方公里，汇流面积88平方公里，平均水深2.1米，湖容11970万立方米。梁子湖是全省最大湖泊，位于江夏区与鄂州市交界处，在本区境内水域面积149.20平方公里，平均水深4米，湖容57000万立方米，汇流面积826.5平方公里。牛山湖在梁子湖西北，因养殖等原因筑堤将其与梁子湖分开，湖面52.78平方公里，平均水深4米，湖容19950万立方米，汇流面积212平方公里。内、外汤逊湖原本是一个湖泊，位于江夏区北部与洪山区交界处，后因筑堤修路，将一个湖泊分隔成内外两个湖泊，中间以涵洞相通，面积32.91平方公里，水深1.5米，湖容7370万立方米，汇流面积431平方公里。鲁湖是江夏区的内湖，面积42平方公里，水深2米，湖容8180万立方米，汇流面积314平方公里。</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丰富的河湖水资源，为高标准农田灌溉体系建设、水资源集约利用、农田生态管护提供了坚实支撑。</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5.生物资源</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江夏区物产丰富，株山茶醇、杨岑桔熟，樟呈雅韵、丹桂飘香，碧荷千池、王藠百顷，山藏奇珍、水纳锦鳞，“梁湖”牌绿茶和“三白”等农产品远销东南亚，此外，界府蒸肉、豹澥百花菜、金口风干鱼、龙泉豆腐圆子、湖泗合菜面、法泗三嫂子香辣黄剁椒都独具风味。</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江夏区内林地到20世纪80年代均被次生林、灌木、草本群落所取代。到2004年，在丘陵冈地和村落附近，尚保存少量残林或围林。常绿阔叶乔木树种有苦槠、石栎、青冈栎、樟树和冬青等，落叶阔叶乔木有枫杨、小叶栎、黄檀、朴树、三角枫、合欢、黄连木、枫香、栓皮栎、山槐、粗糠树、厚壳桂、银杏、牛鼻栓等，两者合计250多种。经济林有桃、梨、李、山楂、柑橘、葡萄、板栗、枇杷、柿、枣、油桐、油茶、木梓、油橄榄、竹、茶叶、银杏、苎麻、藠头、生姜、黄花、烟草等。水生植物有莲藕、菱角、茭白、芡实、荸荠、蒲草及芦苇。江夏区境内药用植物有332种，有虎杖、寻骨风、黑旱莲、菟丝子、马鞍草、附子、大莉、苍耳子、金樱子、苍术、女贞、扁竹、沙参等，比较名贵的有玄湖、白芍、生地、玄参、天门冬等。江滩、湖滩、堤防有耐水的池杉、水杉、枫杨、和柳树，地下水位较高的平湖地区植有意杨、水杉、樟树和枫香。土层深厚、土壤湿润而排水条件良好的植有杉木、檫木、香椿等，较干燥的薄地和冈岭上部植有法桐、刺槐、侧柏等。属草丛类旱中生草场24个。</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区域动物资源品类丰富</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有豹、狗獾、麂子、豺狼、狐狸、水獭、豹猫、松鼠、兔子、野猪、野</w:t>
      </w:r>
      <w:r>
        <w:rPr>
          <w:rFonts w:hint="eastAsia" w:ascii="Times New Roman" w:hAnsi="Times New Roman" w:eastAsia="仿宋_GB2312" w:cs="Times New Roman"/>
          <w:color w:val="000000"/>
          <w:kern w:val="2"/>
          <w:sz w:val="32"/>
          <w:szCs w:val="32"/>
          <w:lang w:val="en-US" w:eastAsia="zh-CN" w:bidi="ar-SA"/>
        </w:rPr>
        <w:t>鸽、斑鸠、布谷、八哥、鹭鸶、黄鹂（又名黄莺）、啄木鸟、喜鹊、苍鹰、猫头鹰、画眉、白头翁、鹦鹉等。区境鱼类有9目、21科、58属、68种。经济鱼类有鲢、鳙、青鱼、草鱼、鳊鱼、鲂、鲤、鲫、白鳡、鲶、乌鳢、黄鳝等20余种。珍贵鱼类有团头鲂（武昌鱼），鳜、鲴、鳗鲡（白鳝）等。</w:t>
      </w:r>
    </w:p>
    <w:bookmarkEnd w:id="9"/>
    <w:bookmarkEnd w:id="10"/>
    <w:bookmarkEnd w:id="11"/>
    <w:bookmarkEnd w:id="12"/>
    <w:bookmarkEnd w:id="13"/>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楷体_GB2312" w:cs="Times New Roman"/>
          <w:color w:val="000000"/>
          <w:kern w:val="2"/>
          <w:sz w:val="32"/>
          <w:szCs w:val="32"/>
          <w:lang w:val="en-US" w:eastAsia="zh-CN" w:bidi="ar-SA"/>
        </w:rPr>
      </w:pPr>
      <w:bookmarkStart w:id="15" w:name="_Toc17754"/>
      <w:r>
        <w:rPr>
          <w:rFonts w:hint="eastAsia" w:ascii="Times New Roman" w:hAnsi="Times New Roman" w:eastAsia="楷体_GB2312" w:cs="Times New Roman"/>
          <w:color w:val="000000"/>
          <w:kern w:val="2"/>
          <w:sz w:val="32"/>
          <w:szCs w:val="32"/>
          <w:lang w:val="en-US" w:eastAsia="zh-CN" w:bidi="ar-SA"/>
        </w:rPr>
        <w:t>（三）社会经济状况</w:t>
      </w:r>
      <w:bookmarkEnd w:id="1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bookmarkStart w:id="16" w:name="OLE_LINK1"/>
      <w:bookmarkStart w:id="17" w:name="_Toc522884394"/>
      <w:r>
        <w:rPr>
          <w:rFonts w:hint="eastAsia" w:ascii="Times New Roman" w:hAnsi="Times New Roman" w:eastAsia="仿宋_GB2312" w:cs="Times New Roman"/>
          <w:color w:val="000000"/>
          <w:kern w:val="2"/>
          <w:sz w:val="32"/>
          <w:szCs w:val="32"/>
          <w:highlight w:val="none"/>
          <w:lang w:val="en-US" w:eastAsia="zh-CN" w:bidi="ar-SA"/>
        </w:rPr>
        <w:t>江夏区行政区划体系完善，下辖10个街道办事处，1个办事处，1个经济开发区管理委员会，1个风景区管委会。共有73个社区居民委员会，256个村民委员会，2661个村民小组。截至2025年末，江夏区常住人口118.2万人，比上年末增加7.56万人。年底户籍人口70.12万人，其中城镇人口38.86万人，农村人口31.26万人。2025年出生人口7120人，死亡人口3560人，区域人口自然增长率3.02‰。</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2025年，江夏区经济发展态势稳健，全域实现地区生产总值1260.58亿元，按可比价格计算，同比增长6.8%。其中，第一产业实现增加值132.35亿元，同比增长4.2%；第二产业实现增加值516.85亿元，同比增长7.5%；第三产业实现增加值611.38亿元，同比增长6.6%。2025年，三次产业的比重为10.5:41.0:48.5，与上年相比，第一产业的比重下降0.3个百分点，第二产业的比重上升0.6个百分点，第三产业的比重下降0.3个百分点。</w:t>
      </w:r>
    </w:p>
    <w:bookmarkEnd w:id="16"/>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楷体_GB2312" w:cs="Times New Roman"/>
          <w:color w:val="000000"/>
          <w:kern w:val="2"/>
          <w:sz w:val="32"/>
          <w:szCs w:val="32"/>
          <w:highlight w:val="none"/>
          <w:lang w:val="en-US" w:eastAsia="zh-CN" w:bidi="ar-SA"/>
        </w:rPr>
      </w:pPr>
      <w:bookmarkStart w:id="18" w:name="_Toc30866"/>
      <w:r>
        <w:rPr>
          <w:rFonts w:hint="eastAsia" w:ascii="Times New Roman" w:hAnsi="Times New Roman" w:eastAsia="楷体_GB2312" w:cs="Times New Roman"/>
          <w:color w:val="000000"/>
          <w:kern w:val="2"/>
          <w:sz w:val="32"/>
          <w:szCs w:val="32"/>
          <w:highlight w:val="none"/>
          <w:lang w:val="en-US" w:eastAsia="zh-CN" w:bidi="ar-SA"/>
        </w:rPr>
        <w:t>（四）农田基础设施状况</w:t>
      </w:r>
      <w:bookmarkEnd w:id="1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十二五”以来，在江夏区委、区政府的正确领导下，认真谋划现代都市农业发展蓝图，通过农业综合开发、土地整治、农田水利建设、新增千亿斤粮食产能田间工程建设、高标准农田建设等措施，农田道路、水利等基础设施条件得到有效改善，农业机械化水平明显提高，设施农业快速发展，农业新技术推广成效显著，农业科技成果转化率逐步提高。全区基本农田旱涝保收率达到80%，农业综合机械化水平达到72%，逐步形成了规模化、专业化、集约化的现代农业生产格局，为新一轮高标准农田提质建设奠定了坚实基础。</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同时，对照现代农业发展与高标准农田建设高标准要求，区域农田基础设施仍存在明显短板，部分老旧农田水利设施老化失修、排灌沟渠堵塞不畅、渠系配套建筑物不完善，部分片区田间道路连通性、通达性不足，农田生态管护薄弱、局部耕地质量退化，基础设施适配性不足等问题，制约了粮食产能稳步提升，是本轮2026-2030年高标准农田新建与提质改造的重点攻坚方向。</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楷体_GB2312" w:cs="Times New Roman"/>
          <w:color w:val="000000"/>
          <w:kern w:val="2"/>
          <w:sz w:val="32"/>
          <w:szCs w:val="32"/>
          <w:lang w:val="en-US" w:eastAsia="zh-CN" w:bidi="ar-SA"/>
        </w:rPr>
      </w:pPr>
      <w:bookmarkStart w:id="19" w:name="_Toc551"/>
      <w:r>
        <w:rPr>
          <w:rFonts w:hint="eastAsia" w:ascii="Times New Roman" w:hAnsi="Times New Roman" w:eastAsia="楷体_GB2312" w:cs="Times New Roman"/>
          <w:color w:val="000000"/>
          <w:kern w:val="2"/>
          <w:sz w:val="32"/>
          <w:szCs w:val="32"/>
          <w:lang w:val="en-US" w:eastAsia="zh-CN" w:bidi="ar-SA"/>
        </w:rPr>
        <w:t>（五）农业生产障碍因素分析</w:t>
      </w:r>
      <w:bookmarkEnd w:id="1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1.土地资源限制</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lang w:val="en-US" w:eastAsia="zh-CN" w:bidi="ar-SA"/>
        </w:rPr>
        <w:t>随着江夏区城镇化</w:t>
      </w:r>
      <w:r>
        <w:rPr>
          <w:rFonts w:hint="eastAsia" w:ascii="Times New Roman" w:hAnsi="Times New Roman" w:eastAsia="仿宋_GB2312" w:cs="Times New Roman"/>
          <w:color w:val="000000"/>
          <w:kern w:val="2"/>
          <w:sz w:val="32"/>
          <w:szCs w:val="32"/>
          <w:highlight w:val="none"/>
          <w:lang w:val="en-US" w:eastAsia="zh-CN" w:bidi="ar-SA"/>
        </w:rPr>
        <w:t>、工业化快速推进，区域建设用地需求不断增大，导致耕地资源总量承压、空间布局碎片化，不仅制约了农田连片规模化开发，也影响了区域农业生态调节功能稳定，亟需通过高标准农田连片整治、耕地提质改造，优化耕地空间布局、提升土地利用效率，破解土地资源约束难题。</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2.土壤因子限制</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江夏区全区耕地土壤质地大部分为中壤偏重，土壤容重一般在1.0-1.4克/立方厘米之间，酸碱度中性偏酸，代换量大部分在10-20meg/100克土之间，有机质和全钾含量较高，全氮含量一般，全磷含量较低，速效</w:t>
      </w:r>
      <w:r>
        <w:rPr>
          <w:rFonts w:hint="eastAsia" w:eastAsia="仿宋_GB2312" w:cs="Times New Roman"/>
          <w:color w:val="000000"/>
          <w:kern w:val="2"/>
          <w:sz w:val="32"/>
          <w:szCs w:val="32"/>
          <w:highlight w:val="none"/>
          <w:lang w:val="en-US" w:eastAsia="zh-CN" w:bidi="ar-SA"/>
        </w:rPr>
        <w:t>养分</w:t>
      </w:r>
      <w:r>
        <w:rPr>
          <w:rFonts w:hint="eastAsia" w:ascii="Times New Roman" w:hAnsi="Times New Roman" w:eastAsia="仿宋_GB2312" w:cs="Times New Roman"/>
          <w:color w:val="000000"/>
          <w:kern w:val="2"/>
          <w:sz w:val="32"/>
          <w:szCs w:val="32"/>
          <w:highlight w:val="none"/>
          <w:lang w:val="en-US" w:eastAsia="zh-CN" w:bidi="ar-SA"/>
        </w:rPr>
        <w:t>含量也不高。同时存在丘陵区次生潜育化、平湖区冷浸烂泥、岗坡土壤酸瘦粘薄等多重障碍，导致部分耕地地力不足、产能潜力未充分释放。各类土壤障碍问题长期制约区域粮食高产稳产，是本轮高标准农田建设中土壤改良、地力提升、耕地质量升级的核心整治内容。</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3.部分农田基础设施与现代农业不配套</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以往农田建设侧重基础工程落地，与现代农业规模化、产业化、集约化发展适配度不足。部分已建农田项目流转至农业经营主体后，原有水利、道路等配套设施难以适配规模化、标准化生产需求，需二次改造升级，增加了农业生产成本，制约了现代农业高效发展，亟需通过新一轮高标准农田标准化建设，补齐设施配套短板，实现农田设施与现代农业发展精准适配。</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楷体_GB2312" w:cs="Times New Roman"/>
          <w:color w:val="000000"/>
          <w:kern w:val="2"/>
          <w:sz w:val="32"/>
          <w:szCs w:val="32"/>
          <w:highlight w:val="none"/>
          <w:lang w:val="en-US" w:eastAsia="zh-CN" w:bidi="ar-SA"/>
        </w:rPr>
      </w:pPr>
      <w:bookmarkStart w:id="20" w:name="_Toc2849"/>
      <w:r>
        <w:rPr>
          <w:rFonts w:hint="eastAsia" w:ascii="Times New Roman" w:hAnsi="Times New Roman" w:eastAsia="楷体_GB2312" w:cs="Times New Roman"/>
          <w:color w:val="000000"/>
          <w:kern w:val="2"/>
          <w:sz w:val="32"/>
          <w:szCs w:val="32"/>
          <w:highlight w:val="none"/>
          <w:lang w:val="en-US" w:eastAsia="zh-CN" w:bidi="ar-SA"/>
        </w:rPr>
        <w:t>（六）水资源供需平衡状况</w:t>
      </w:r>
      <w:bookmarkEnd w:id="2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1.水资源情况</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bookmarkStart w:id="21" w:name="OLE_LINK2"/>
      <w:r>
        <w:rPr>
          <w:rFonts w:hint="eastAsia" w:ascii="Times New Roman" w:hAnsi="Times New Roman" w:eastAsia="仿宋_GB2312" w:cs="Times New Roman"/>
          <w:color w:val="000000"/>
          <w:kern w:val="2"/>
          <w:sz w:val="32"/>
          <w:szCs w:val="32"/>
          <w:highlight w:val="none"/>
          <w:lang w:val="en-US" w:eastAsia="zh-CN" w:bidi="ar-SA"/>
        </w:rPr>
        <w:t>根据《2025年武汉市水资源公报》，2025年全市地表水资源量50.76亿m³，地下水资源量11.93亿m³，扣除地表水、地下水重复计算量8.79亿m³，水资源总量53.90亿m³。江夏区依托市域丰富水资源与境内密布河湖资源，农业灌溉水源储备充足，能够有效支撑高标准农田灌溉用水需求。</w:t>
      </w:r>
    </w:p>
    <w:bookmarkEnd w:id="21"/>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2.需水量计算</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本次水资源供需平衡分析仅测算高标准农田建设涉及的农业生产灌溉用水，不含城乡生活用水及工业用水，严格贴合规划建设测算要求。</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（1）农业种植制度</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结合江夏区传统种植习惯与农业生产布局，确定水田以中稻、油菜，旱地以冬小麦、花生</w:t>
      </w:r>
      <w:r>
        <w:rPr>
          <w:rFonts w:hint="eastAsia" w:eastAsia="仿宋_GB2312" w:cs="Times New Roman"/>
          <w:color w:val="000000"/>
          <w:kern w:val="2"/>
          <w:sz w:val="32"/>
          <w:szCs w:val="32"/>
          <w:highlight w:val="none"/>
          <w:lang w:val="en-US" w:eastAsia="zh-CN" w:bidi="ar-SA"/>
        </w:rPr>
        <w:t>为主，</w:t>
      </w:r>
      <w:r>
        <w:rPr>
          <w:rFonts w:hint="eastAsia" w:ascii="Times New Roman" w:hAnsi="Times New Roman" w:eastAsia="仿宋_GB2312" w:cs="Times New Roman"/>
          <w:color w:val="000000"/>
          <w:kern w:val="2"/>
          <w:sz w:val="32"/>
          <w:szCs w:val="32"/>
          <w:highlight w:val="none"/>
          <w:lang w:val="en-US" w:eastAsia="zh-CN" w:bidi="ar-SA"/>
        </w:rPr>
        <w:t>以此为基础测算区域农业灌溉用水量。</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（2）灌溉设计标准</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根据《灌溉与排水工程设计规范》（GB50288-2018）以及《高标准农田建设标准通则》（GB/T30600-2022），结合区域水土资源禀赋、气象水文特征及农业生产实际，征询行业专家意见，确定区域灌溉设计保证率为85%。</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（3）灌溉水利用系数</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结合江夏区现状灌溉水平与灌区建设标准，现状灌溉水利用系数为0.6，规划期通过高标准农田灌排工程升级改造，优化灌溉体系，确定综合灌溉水利用系数提升至0.7，符合区域大、中、小型灌区建设规范要求。</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（4）作物灌溉定额</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参考《湖北省农业用水定额》（DB42/T1528.1-2019），选取各农作物与规划区灌溉设计保证率对应的灌溉定额进行统计计算。</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（5）需水量计算</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pPr>
      <w:r>
        <w:drawing>
          <wp:anchor distT="0" distB="0" distL="114300" distR="114300" simplePos="0" relativeHeight="251659264" behindDoc="0" locked="0" layoutInCell="1" allowOverlap="1">
            <wp:simplePos x="0" y="0"/>
            <wp:positionH relativeFrom="column">
              <wp:posOffset>2251710</wp:posOffset>
            </wp:positionH>
            <wp:positionV relativeFrom="paragraph">
              <wp:posOffset>94615</wp:posOffset>
            </wp:positionV>
            <wp:extent cx="1143000" cy="259715"/>
            <wp:effectExtent l="0" t="0" r="0" b="0"/>
            <wp:wrapSquare wrapText="right"/>
            <wp:docPr id="3"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98"/>
                    <pic:cNvPicPr>
                      <a:picLocks noChangeAspect="1"/>
                    </pic:cNvPicPr>
                  </pic:nvPicPr>
                  <pic:blipFill>
                    <a:blip r:embed="rId11"/>
                    <a:stretch>
                      <a:fillRect/>
                    </a:stretch>
                  </pic:blipFill>
                  <pic:spPr>
                    <a:xfrm>
                      <a:off x="0" y="0"/>
                      <a:ext cx="1143000" cy="25971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zh-CN" w:eastAsia="zh-CN" w:bidi="ar-SA"/>
        </w:rPr>
      </w:pPr>
      <w:r>
        <w:rPr>
          <w:rFonts w:hint="eastAsia" w:ascii="Times New Roman" w:hAnsi="Times New Roman" w:eastAsia="仿宋_GB2312" w:cs="Times New Roman"/>
          <w:color w:val="000000"/>
          <w:kern w:val="2"/>
          <w:sz w:val="32"/>
          <w:szCs w:val="32"/>
          <w:lang w:val="zh-CN" w:eastAsia="zh-CN" w:bidi="ar-SA"/>
        </w:rPr>
        <w:t>其中：</w:t>
      </w:r>
      <w:r>
        <w:rPr>
          <w:rFonts w:hint="eastAsia" w:ascii="Times New Roman" w:hAnsi="Times New Roman" w:eastAsia="仿宋_GB2312" w:cs="Times New Roman"/>
          <w:color w:val="000000"/>
          <w:kern w:val="2"/>
          <w:sz w:val="32"/>
          <w:szCs w:val="32"/>
          <w:lang w:val="zh-CN" w:eastAsia="zh-CN" w:bidi="ar-SA"/>
        </w:rPr>
        <w:object>
          <v:shape id="_x0000_i1025" o:spt="75" type="#_x0000_t75" style="height:17.4pt;width:18.35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r>
        <w:rPr>
          <w:rFonts w:hint="eastAsia" w:ascii="Times New Roman" w:hAnsi="Times New Roman" w:eastAsia="仿宋_GB2312" w:cs="Times New Roman"/>
          <w:color w:val="000000"/>
          <w:kern w:val="2"/>
          <w:sz w:val="32"/>
          <w:szCs w:val="32"/>
          <w:lang w:val="zh-CN" w:eastAsia="zh-CN" w:bidi="ar-SA"/>
        </w:rPr>
        <w:t>--灌溉需水量</w:t>
      </w:r>
      <w:r>
        <w:rPr>
          <w:rFonts w:hint="eastAsia" w:ascii="Times New Roman" w:hAnsi="Times New Roman" w:eastAsia="仿宋_GB2312" w:cs="Times New Roman"/>
          <w:color w:val="000000"/>
          <w:kern w:val="2"/>
          <w:sz w:val="32"/>
          <w:szCs w:val="32"/>
          <w:lang w:val="en-US" w:eastAsia="zh-CN" w:bidi="ar-SA"/>
        </w:rPr>
        <w:t>m³</w:t>
      </w:r>
      <w:r>
        <w:rPr>
          <w:rFonts w:hint="eastAsia" w:ascii="Times New Roman" w:hAnsi="Times New Roman" w:eastAsia="仿宋_GB2312" w:cs="Times New Roman"/>
          <w:color w:val="000000"/>
          <w:kern w:val="2"/>
          <w:sz w:val="32"/>
          <w:szCs w:val="32"/>
          <w:lang w:val="zh-CN" w:eastAsia="zh-CN" w:bidi="ar-SA"/>
        </w:rPr>
        <w:t>；</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zh-CN" w:eastAsia="zh-CN" w:bidi="ar-SA"/>
        </w:rPr>
      </w:pPr>
      <w:r>
        <w:rPr>
          <w:rFonts w:hint="eastAsia" w:ascii="Times New Roman" w:hAnsi="Times New Roman" w:eastAsia="仿宋_GB2312" w:cs="Times New Roman"/>
          <w:color w:val="000000"/>
          <w:kern w:val="2"/>
          <w:sz w:val="32"/>
          <w:szCs w:val="32"/>
          <w:lang w:val="zh-CN" w:eastAsia="zh-CN" w:bidi="ar-SA"/>
        </w:rPr>
        <w:object>
          <v:shape id="_x0000_i1026" o:spt="75" type="#_x0000_t75" style="height:17.4pt;width:18.35pt;" o:ole="t" filled="f" o:preferrelative="t" stroked="f" coordsize="21600,21600">
            <v:path/>
            <v:fill on="f" focussize="0,0"/>
            <v:stroke on="f" joinstyle="miter"/>
            <v:imagedata r:id="rId15" o:title=""/>
            <o:lock v:ext="edit" aspectratio="t"/>
            <w10:wrap type="none"/>
            <w10:anchorlock/>
          </v:shape>
          <o:OLEObject Type="Embed" ProgID="Equation.3" ShapeID="_x0000_i1026" DrawAspect="Content" ObjectID="_1468075726" r:id="rId14">
            <o:LockedField>false</o:LockedField>
          </o:OLEObject>
        </w:object>
      </w:r>
      <w:r>
        <w:rPr>
          <w:rFonts w:hint="eastAsia" w:ascii="Times New Roman" w:hAnsi="Times New Roman" w:eastAsia="仿宋_GB2312" w:cs="Times New Roman"/>
          <w:color w:val="000000"/>
          <w:kern w:val="2"/>
          <w:sz w:val="32"/>
          <w:szCs w:val="32"/>
          <w:lang w:val="zh-CN" w:eastAsia="zh-CN" w:bidi="ar-SA"/>
        </w:rPr>
        <w:t>--净灌溉定额</w:t>
      </w:r>
      <w:r>
        <w:rPr>
          <w:rFonts w:hint="eastAsia" w:ascii="Times New Roman" w:hAnsi="Times New Roman" w:eastAsia="仿宋_GB2312" w:cs="Times New Roman"/>
          <w:color w:val="000000"/>
          <w:kern w:val="2"/>
          <w:sz w:val="32"/>
          <w:szCs w:val="32"/>
          <w:lang w:val="en-US" w:eastAsia="zh-CN" w:bidi="ar-SA"/>
        </w:rPr>
        <w:t>m³</w:t>
      </w:r>
      <w:r>
        <w:rPr>
          <w:rFonts w:hint="eastAsia" w:ascii="Times New Roman" w:hAnsi="Times New Roman" w:eastAsia="仿宋_GB2312" w:cs="Times New Roman"/>
          <w:color w:val="000000"/>
          <w:kern w:val="2"/>
          <w:sz w:val="32"/>
          <w:szCs w:val="32"/>
          <w:lang w:val="zh-CN" w:eastAsia="zh-CN" w:bidi="ar-SA"/>
        </w:rPr>
        <w:t>/亩；</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zh-CN" w:eastAsia="zh-CN" w:bidi="ar-SA"/>
        </w:rPr>
      </w:pPr>
      <w:r>
        <w:rPr>
          <w:rFonts w:hint="eastAsia" w:ascii="Times New Roman" w:hAnsi="Times New Roman" w:eastAsia="仿宋_GB2312" w:cs="Times New Roman"/>
          <w:color w:val="000000"/>
          <w:kern w:val="2"/>
          <w:sz w:val="32"/>
          <w:szCs w:val="32"/>
          <w:lang w:val="zh-CN" w:eastAsia="zh-CN" w:bidi="ar-SA"/>
        </w:rPr>
        <w:object>
          <v:shape id="_x0000_i1027" o:spt="75" type="#_x0000_t75" style="height:12.45pt;width:11.5pt;" o:ole="t" filled="f" o:preferrelative="t" stroked="f" coordsize="21600,21600">
            <v:path/>
            <v:fill on="f" focussize="0,0"/>
            <v:stroke on="f" joinstyle="miter"/>
            <v:imagedata r:id="rId17" o:title=""/>
            <o:lock v:ext="edit" aspectratio="t"/>
            <w10:wrap type="none"/>
            <w10:anchorlock/>
          </v:shape>
          <o:OLEObject Type="Embed" ProgID="Equation.3" ShapeID="_x0000_i1027" DrawAspect="Content" ObjectID="_1468075727" r:id="rId16">
            <o:LockedField>false</o:LockedField>
          </o:OLEObject>
        </w:object>
      </w:r>
      <w:r>
        <w:rPr>
          <w:rFonts w:hint="eastAsia" w:ascii="Times New Roman" w:hAnsi="Times New Roman" w:eastAsia="仿宋_GB2312" w:cs="Times New Roman"/>
          <w:color w:val="000000"/>
          <w:kern w:val="2"/>
          <w:sz w:val="32"/>
          <w:szCs w:val="32"/>
          <w:lang w:val="zh-CN" w:eastAsia="zh-CN" w:bidi="ar-SA"/>
        </w:rPr>
        <w:t>--</w:t>
      </w:r>
      <w:r>
        <w:rPr>
          <w:rFonts w:hint="eastAsia" w:ascii="Times New Roman" w:hAnsi="Times New Roman" w:eastAsia="仿宋_GB2312" w:cs="Times New Roman"/>
          <w:color w:val="000000"/>
          <w:kern w:val="2"/>
          <w:sz w:val="32"/>
          <w:szCs w:val="32"/>
          <w:lang w:val="en-US" w:eastAsia="zh-CN" w:bidi="ar-SA"/>
        </w:rPr>
        <w:t>作物种植</w:t>
      </w:r>
      <w:r>
        <w:rPr>
          <w:rFonts w:hint="eastAsia" w:ascii="Times New Roman" w:hAnsi="Times New Roman" w:eastAsia="仿宋_GB2312" w:cs="Times New Roman"/>
          <w:color w:val="000000"/>
          <w:kern w:val="2"/>
          <w:sz w:val="32"/>
          <w:szCs w:val="32"/>
          <w:lang w:val="zh-CN" w:eastAsia="zh-CN" w:bidi="ar-SA"/>
        </w:rPr>
        <w:t>面积；</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zh-CN" w:eastAsia="zh-CN" w:bidi="ar-SA"/>
        </w:rPr>
      </w:pPr>
      <w:r>
        <w:rPr>
          <w:rFonts w:hint="eastAsia" w:ascii="Times New Roman" w:hAnsi="Times New Roman" w:eastAsia="仿宋_GB2312" w:cs="Times New Roman"/>
          <w:color w:val="000000"/>
          <w:kern w:val="2"/>
          <w:sz w:val="32"/>
          <w:szCs w:val="32"/>
          <w:lang w:val="zh-CN" w:eastAsia="zh-CN" w:bidi="ar-SA"/>
        </w:rPr>
        <w:object>
          <v:shape id="_x0000_i1028" o:spt="75" type="#_x0000_t75" style="height:12.45pt;width:9.6pt;" o:ole="t" filled="f" o:preferrelative="t" stroked="f" coordsize="21600,21600">
            <v:path/>
            <v:fill on="f" focussize="0,0"/>
            <v:stroke on="f" joinstyle="miter"/>
            <v:imagedata r:id="rId19" o:title=""/>
            <o:lock v:ext="edit" aspectratio="t"/>
            <w10:wrap type="none"/>
            <w10:anchorlock/>
          </v:shape>
          <o:OLEObject Type="Embed" ProgID="Equation.3" ShapeID="_x0000_i1028" DrawAspect="Content" ObjectID="_1468075728" r:id="rId18">
            <o:LockedField>false</o:LockedField>
          </o:OLEObject>
        </w:object>
      </w:r>
      <w:r>
        <w:rPr>
          <w:rFonts w:hint="eastAsia" w:ascii="Times New Roman" w:hAnsi="Times New Roman" w:eastAsia="仿宋_GB2312" w:cs="Times New Roman"/>
          <w:color w:val="000000"/>
          <w:kern w:val="2"/>
          <w:sz w:val="32"/>
          <w:szCs w:val="32"/>
          <w:lang w:val="zh-CN" w:eastAsia="zh-CN" w:bidi="ar-SA"/>
        </w:rPr>
        <w:t>--灌溉水利用系数。</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zh-CN" w:eastAsia="zh-CN" w:bidi="ar-SA"/>
        </w:rPr>
        <w:t>设计典型年灌溉需水量：</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表1-1</w:t>
      </w:r>
      <w:r>
        <w:rPr>
          <w:rFonts w:hint="eastAsia" w:ascii="Times New Roman" w:hAnsi="Times New Roman" w:eastAsia="仿宋_GB2312" w:cs="Times New Roman"/>
          <w:color w:val="000000"/>
          <w:kern w:val="2"/>
          <w:sz w:val="32"/>
          <w:szCs w:val="32"/>
          <w:lang w:val="en-US" w:eastAsia="zh-CN" w:bidi="ar-SA"/>
        </w:rPr>
        <w:t>基准年灌溉需水量计算表</w:t>
      </w:r>
    </w:p>
    <w:tbl>
      <w:tblPr>
        <w:tblStyle w:val="25"/>
        <w:tblW w:w="502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0"/>
        <w:gridCol w:w="1920"/>
        <w:gridCol w:w="2463"/>
        <w:gridCol w:w="1735"/>
        <w:gridCol w:w="1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jc w:val="center"/>
        </w:trPr>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农作物</w:t>
            </w:r>
          </w:p>
        </w:tc>
        <w:tc>
          <w:tcPr>
            <w:tcW w:w="10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种植面积</w:t>
            </w:r>
            <w:r>
              <w:rPr>
                <w:rFonts w:hint="eastAsia" w:ascii="黑体" w:hAnsi="黑体" w:eastAsia="黑体" w:cs="黑体"/>
                <w:color w:val="000000"/>
                <w:spacing w:val="-11"/>
                <w:kern w:val="2"/>
                <w:sz w:val="24"/>
                <w:szCs w:val="24"/>
                <w:lang w:val="en-US" w:eastAsia="zh-CN" w:bidi="ar-SA"/>
              </w:rPr>
              <w:t>（亩）</w:t>
            </w:r>
          </w:p>
        </w:tc>
        <w:tc>
          <w:tcPr>
            <w:tcW w:w="13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净灌溉定额</w:t>
            </w:r>
            <w:r>
              <w:rPr>
                <w:rFonts w:hint="eastAsia" w:ascii="黑体" w:hAnsi="黑体" w:eastAsia="黑体" w:cs="黑体"/>
                <w:color w:val="000000"/>
                <w:spacing w:val="-11"/>
                <w:kern w:val="2"/>
                <w:sz w:val="24"/>
                <w:szCs w:val="24"/>
                <w:lang w:val="en-US" w:eastAsia="zh-CN" w:bidi="ar-SA"/>
              </w:rPr>
              <w:t>（m³/亩）</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灌溉利用系数</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需水量</w:t>
            </w:r>
            <w:r>
              <w:rPr>
                <w:rFonts w:hint="eastAsia" w:ascii="黑体" w:hAnsi="黑体" w:eastAsia="黑体" w:cs="黑体"/>
                <w:color w:val="000000"/>
                <w:spacing w:val="-11"/>
                <w:kern w:val="2"/>
                <w:sz w:val="24"/>
                <w:szCs w:val="24"/>
                <w:lang w:val="en-US" w:eastAsia="zh-CN" w:bidi="ar-SA"/>
              </w:rPr>
              <w:t>（万m³）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中稻</w:t>
            </w:r>
          </w:p>
        </w:tc>
        <w:tc>
          <w:tcPr>
            <w:tcW w:w="10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116764</w:t>
            </w:r>
          </w:p>
        </w:tc>
        <w:tc>
          <w:tcPr>
            <w:tcW w:w="13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531</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0.6</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10334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油菜</w:t>
            </w:r>
          </w:p>
        </w:tc>
        <w:tc>
          <w:tcPr>
            <w:tcW w:w="10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93411</w:t>
            </w:r>
          </w:p>
        </w:tc>
        <w:tc>
          <w:tcPr>
            <w:tcW w:w="13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97</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0.6</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冬小麦</w:t>
            </w:r>
          </w:p>
        </w:tc>
        <w:tc>
          <w:tcPr>
            <w:tcW w:w="10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54464</w:t>
            </w:r>
          </w:p>
        </w:tc>
        <w:tc>
          <w:tcPr>
            <w:tcW w:w="13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79</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0.6</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717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花生</w:t>
            </w:r>
          </w:p>
        </w:tc>
        <w:tc>
          <w:tcPr>
            <w:tcW w:w="10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38903</w:t>
            </w:r>
          </w:p>
        </w:tc>
        <w:tc>
          <w:tcPr>
            <w:tcW w:w="13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93</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0.6</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603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合计</w:t>
            </w:r>
          </w:p>
        </w:tc>
        <w:tc>
          <w:tcPr>
            <w:tcW w:w="10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303541</w:t>
            </w:r>
          </w:p>
        </w:tc>
        <w:tc>
          <w:tcPr>
            <w:tcW w:w="13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w:t>
            </w:r>
          </w:p>
        </w:tc>
        <w:tc>
          <w:tcPr>
            <w:tcW w:w="10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13164</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表1-2</w:t>
      </w:r>
      <w:r>
        <w:rPr>
          <w:rFonts w:hint="eastAsia" w:ascii="Times New Roman" w:hAnsi="Times New Roman" w:eastAsia="仿宋_GB2312" w:cs="Times New Roman"/>
          <w:color w:val="000000"/>
          <w:kern w:val="2"/>
          <w:sz w:val="32"/>
          <w:szCs w:val="32"/>
          <w:lang w:val="en-US" w:eastAsia="zh-CN" w:bidi="ar-SA"/>
        </w:rPr>
        <w:t>规划年灌溉需水量计算表</w:t>
      </w:r>
    </w:p>
    <w:tbl>
      <w:tblPr>
        <w:tblStyle w:val="2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2"/>
        <w:gridCol w:w="1921"/>
        <w:gridCol w:w="2473"/>
        <w:gridCol w:w="1721"/>
        <w:gridCol w:w="19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农作物</w:t>
            </w:r>
          </w:p>
        </w:tc>
        <w:tc>
          <w:tcPr>
            <w:tcW w:w="10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种植面积</w:t>
            </w:r>
            <w:r>
              <w:rPr>
                <w:rFonts w:hint="eastAsia" w:ascii="黑体" w:hAnsi="黑体" w:eastAsia="黑体" w:cs="黑体"/>
                <w:color w:val="000000"/>
                <w:spacing w:val="-11"/>
                <w:kern w:val="2"/>
                <w:sz w:val="24"/>
                <w:szCs w:val="24"/>
                <w:lang w:val="en-US" w:eastAsia="zh-CN" w:bidi="ar-SA"/>
              </w:rPr>
              <w:t>（亩）</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净灌溉定额</w:t>
            </w:r>
            <w:r>
              <w:rPr>
                <w:rFonts w:hint="eastAsia" w:ascii="黑体" w:hAnsi="黑体" w:eastAsia="黑体" w:cs="黑体"/>
                <w:color w:val="000000"/>
                <w:spacing w:val="-11"/>
                <w:kern w:val="2"/>
                <w:sz w:val="24"/>
                <w:szCs w:val="24"/>
                <w:lang w:val="en-US" w:eastAsia="zh-CN" w:bidi="ar-SA"/>
              </w:rPr>
              <w:t>（m³/亩）</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灌溉利用系数</w:t>
            </w:r>
          </w:p>
        </w:tc>
        <w:tc>
          <w:tcPr>
            <w:tcW w:w="10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需水量</w:t>
            </w:r>
            <w:r>
              <w:rPr>
                <w:rFonts w:hint="eastAsia" w:ascii="黑体" w:hAnsi="黑体" w:eastAsia="黑体" w:cs="黑体"/>
                <w:color w:val="000000"/>
                <w:spacing w:val="-11"/>
                <w:kern w:val="2"/>
                <w:sz w:val="24"/>
                <w:szCs w:val="24"/>
                <w:lang w:val="en-US" w:eastAsia="zh-CN" w:bidi="ar-SA"/>
              </w:rPr>
              <w:t>（万m³）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中稻</w:t>
            </w:r>
          </w:p>
        </w:tc>
        <w:tc>
          <w:tcPr>
            <w:tcW w:w="10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140117</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494</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0.7</w:t>
            </w:r>
          </w:p>
        </w:tc>
        <w:tc>
          <w:tcPr>
            <w:tcW w:w="10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9885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油菜</w:t>
            </w:r>
          </w:p>
        </w:tc>
        <w:tc>
          <w:tcPr>
            <w:tcW w:w="10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116764</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90</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0.7</w:t>
            </w:r>
          </w:p>
        </w:tc>
        <w:tc>
          <w:tcPr>
            <w:tcW w:w="10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1505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冬小麦</w:t>
            </w:r>
          </w:p>
        </w:tc>
        <w:tc>
          <w:tcPr>
            <w:tcW w:w="10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66134</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73</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0.7</w:t>
            </w:r>
          </w:p>
        </w:tc>
        <w:tc>
          <w:tcPr>
            <w:tcW w:w="10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694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花生</w:t>
            </w:r>
          </w:p>
        </w:tc>
        <w:tc>
          <w:tcPr>
            <w:tcW w:w="10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46683</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86</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0.7</w:t>
            </w:r>
          </w:p>
        </w:tc>
        <w:tc>
          <w:tcPr>
            <w:tcW w:w="10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577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9" w:hRule="atLeast"/>
        </w:trPr>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合计</w:t>
            </w:r>
          </w:p>
        </w:tc>
        <w:tc>
          <w:tcPr>
            <w:tcW w:w="106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369698</w:t>
            </w:r>
          </w:p>
        </w:tc>
        <w:tc>
          <w:tcPr>
            <w:tcW w:w="13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w:t>
            </w:r>
          </w:p>
        </w:tc>
        <w:tc>
          <w:tcPr>
            <w:tcW w:w="9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w:t>
            </w:r>
          </w:p>
        </w:tc>
        <w:tc>
          <w:tcPr>
            <w:tcW w:w="109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12660</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经测算，江夏区基准年农业灌溉需水量为13164万m³/年，规划年通过优化种植结构、提升灌溉效率，农业灌溉需水量降至12660万m³/年，用水集约化水平持续提升。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3.供水量计算</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供水量来源主要为：天然降雨和过境客水。</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default"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（1）天然降雨</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江夏区内降水形成的地表径流通过坑塘、水库蓄水，满足作物灌溉要求。本处采用塘堰径流法计算坑塘、水库供水量。通过对灌溉塘进行清淤整修以后，平均深度取2.5-3.0</w:t>
      </w:r>
      <w:r>
        <w:rPr>
          <w:rFonts w:hint="eastAsia" w:eastAsia="仿宋_GB2312" w:cs="Times New Roman"/>
          <w:color w:val="000000"/>
          <w:kern w:val="2"/>
          <w:sz w:val="32"/>
          <w:szCs w:val="32"/>
          <w:highlight w:val="none"/>
          <w:lang w:val="en-US" w:eastAsia="zh-CN" w:bidi="ar-SA"/>
        </w:rPr>
        <w:t>米</w:t>
      </w:r>
      <w:r>
        <w:rPr>
          <w:rFonts w:hint="eastAsia" w:ascii="Times New Roman" w:hAnsi="Times New Roman" w:eastAsia="仿宋_GB2312" w:cs="Times New Roman"/>
          <w:color w:val="000000"/>
          <w:kern w:val="2"/>
          <w:sz w:val="32"/>
          <w:szCs w:val="32"/>
          <w:highlight w:val="none"/>
          <w:lang w:val="en-US" w:eastAsia="zh-CN" w:bidi="ar-SA"/>
        </w:rPr>
        <w:t>左</w:t>
      </w:r>
      <w:r>
        <w:rPr>
          <w:rFonts w:hint="eastAsia" w:ascii="Times New Roman" w:hAnsi="Times New Roman" w:eastAsia="仿宋_GB2312" w:cs="Times New Roman"/>
          <w:color w:val="000000"/>
          <w:kern w:val="2"/>
          <w:sz w:val="32"/>
          <w:szCs w:val="32"/>
          <w:lang w:val="en-US" w:eastAsia="zh-CN" w:bidi="ar-SA"/>
        </w:rPr>
        <w:t>右，有效蓄水深取2.0米，典型年复蓄系数为0.8，供水量计算公式为：</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W=V×N</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其中：W-灌溉季节塘堰、水库供水量（万m³）；</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V-单位灌溉面积上塘堰、水库有效容积（m³）</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N-复蓄系数，典型年，N取0.8。</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表1-3</w:t>
      </w:r>
      <w:r>
        <w:rPr>
          <w:rFonts w:hint="eastAsia" w:ascii="Times New Roman" w:hAnsi="Times New Roman" w:eastAsia="仿宋_GB2312" w:cs="Times New Roman"/>
          <w:color w:val="000000"/>
          <w:kern w:val="2"/>
          <w:sz w:val="32"/>
          <w:szCs w:val="32"/>
          <w:lang w:val="en-US" w:eastAsia="zh-CN" w:bidi="ar-SA"/>
        </w:rPr>
        <w:t>坑塘蓄水供水量表</w:t>
      </w:r>
    </w:p>
    <w:tbl>
      <w:tblPr>
        <w:tblStyle w:val="25"/>
        <w:tblW w:w="4998" w:type="pct"/>
        <w:jc w:val="center"/>
        <w:tblBorders>
          <w:top w:val="single" w:color="auto" w:sz="18" w:space="0"/>
          <w:left w:val="none" w:color="auto" w:sz="0" w:space="0"/>
          <w:bottom w:val="single" w:color="auto" w:sz="18" w:space="0"/>
          <w:right w:val="none" w:color="auto" w:sz="0" w:space="0"/>
          <w:insideH w:val="dotted" w:color="auto" w:sz="4" w:space="0"/>
          <w:insideV w:val="dotted" w:color="auto" w:sz="4" w:space="0"/>
        </w:tblBorders>
        <w:tblLayout w:type="autofit"/>
        <w:tblCellMar>
          <w:top w:w="0" w:type="dxa"/>
          <w:left w:w="108" w:type="dxa"/>
          <w:bottom w:w="0" w:type="dxa"/>
          <w:right w:w="108" w:type="dxa"/>
        </w:tblCellMar>
      </w:tblPr>
      <w:tblGrid>
        <w:gridCol w:w="1261"/>
        <w:gridCol w:w="1668"/>
        <w:gridCol w:w="1574"/>
        <w:gridCol w:w="2301"/>
        <w:gridCol w:w="2253"/>
      </w:tblGrid>
      <w:tr>
        <w:tblPrEx>
          <w:tblBorders>
            <w:top w:val="single" w:color="auto" w:sz="18" w:space="0"/>
            <w:left w:val="none" w:color="auto" w:sz="0" w:space="0"/>
            <w:bottom w:val="single" w:color="auto" w:sz="18"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567" w:hRule="exact"/>
          <w:jc w:val="center"/>
        </w:trPr>
        <w:tc>
          <w:tcPr>
            <w:tcW w:w="702"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年份</w:t>
            </w:r>
          </w:p>
        </w:tc>
        <w:tc>
          <w:tcPr>
            <w:tcW w:w="897"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面积（万m²）</w:t>
            </w:r>
          </w:p>
        </w:tc>
        <w:tc>
          <w:tcPr>
            <w:tcW w:w="875"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复蓄系数</w:t>
            </w:r>
          </w:p>
        </w:tc>
        <w:tc>
          <w:tcPr>
            <w:tcW w:w="1276"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平均蓄水深（m）</w:t>
            </w:r>
          </w:p>
        </w:tc>
        <w:tc>
          <w:tcPr>
            <w:tcW w:w="1249"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供水量（万m³）</w:t>
            </w:r>
          </w:p>
        </w:tc>
      </w:tr>
      <w:tr>
        <w:tblPrEx>
          <w:tblBorders>
            <w:top w:val="single" w:color="auto" w:sz="18" w:space="0"/>
            <w:left w:val="none" w:color="auto" w:sz="0" w:space="0"/>
            <w:bottom w:val="single" w:color="auto" w:sz="18"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567" w:hRule="exact"/>
          <w:jc w:val="center"/>
        </w:trPr>
        <w:tc>
          <w:tcPr>
            <w:tcW w:w="702"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基准年</w:t>
            </w:r>
          </w:p>
        </w:tc>
        <w:tc>
          <w:tcPr>
            <w:tcW w:w="897"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9754</w:t>
            </w:r>
          </w:p>
        </w:tc>
        <w:tc>
          <w:tcPr>
            <w:tcW w:w="875"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0.8</w:t>
            </w:r>
          </w:p>
        </w:tc>
        <w:tc>
          <w:tcPr>
            <w:tcW w:w="1276"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1.2</w:t>
            </w:r>
          </w:p>
        </w:tc>
        <w:tc>
          <w:tcPr>
            <w:tcW w:w="1249"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9364</w:t>
            </w:r>
          </w:p>
        </w:tc>
      </w:tr>
      <w:tr>
        <w:tblPrEx>
          <w:tblBorders>
            <w:top w:val="single" w:color="auto" w:sz="18" w:space="0"/>
            <w:left w:val="none" w:color="auto" w:sz="0" w:space="0"/>
            <w:bottom w:val="single" w:color="auto" w:sz="18"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567" w:hRule="exact"/>
          <w:jc w:val="center"/>
        </w:trPr>
        <w:tc>
          <w:tcPr>
            <w:tcW w:w="702"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规划年</w:t>
            </w:r>
          </w:p>
        </w:tc>
        <w:tc>
          <w:tcPr>
            <w:tcW w:w="897"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9754</w:t>
            </w:r>
          </w:p>
        </w:tc>
        <w:tc>
          <w:tcPr>
            <w:tcW w:w="875"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0.8</w:t>
            </w:r>
          </w:p>
        </w:tc>
        <w:tc>
          <w:tcPr>
            <w:tcW w:w="1276"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w:t>
            </w:r>
          </w:p>
        </w:tc>
        <w:tc>
          <w:tcPr>
            <w:tcW w:w="1249" w:type="pct"/>
            <w:tcBorders>
              <w:top w:val="single" w:color="auto" w:sz="4" w:space="0"/>
              <w:left w:val="single" w:color="auto" w:sz="4" w:space="0"/>
              <w:bottom w:val="single" w:color="auto" w:sz="4" w:space="0"/>
              <w:right w:val="single" w:color="auto" w:sz="4" w:space="0"/>
              <w:tl2br w:val="nil"/>
              <w:tr2bl w:val="nil"/>
            </w:tcBorders>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15606</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经测算，江夏区基准年坑塘水库可供水量9364万m³/年，规划年通过蓄水设施提质改造，坑塘水库可供水量提升至15606万m³/年，蓄水保供能力显著增强。</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default"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（2）过境客水</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过境客水主要通过泵站进行提水灌溉，泵站提水水源包括金水河、斧头湖、梁子湖、牛山湖、鲁湖和内、外汤逊湖</w:t>
      </w:r>
      <w:r>
        <w:rPr>
          <w:rFonts w:hint="eastAsia"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鲁湖以及连接水源补给充足</w:t>
      </w:r>
      <w:r>
        <w:rPr>
          <w:rFonts w:hint="eastAsia" w:ascii="Times New Roman" w:hAnsi="Times New Roman" w:eastAsia="仿宋_GB2312" w:cs="Times New Roman"/>
          <w:color w:val="000000"/>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表1-4</w:t>
      </w:r>
      <w:r>
        <w:rPr>
          <w:rFonts w:hint="eastAsia" w:ascii="Times New Roman" w:hAnsi="Times New Roman" w:eastAsia="仿宋_GB2312" w:cs="Times New Roman"/>
          <w:color w:val="000000"/>
          <w:kern w:val="2"/>
          <w:sz w:val="32"/>
          <w:szCs w:val="32"/>
          <w:lang w:val="en-US" w:eastAsia="zh-CN" w:bidi="ar-SA"/>
        </w:rPr>
        <w:t>泵站提水量表</w:t>
      </w:r>
    </w:p>
    <w:tbl>
      <w:tblPr>
        <w:tblStyle w:val="25"/>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1"/>
        <w:gridCol w:w="1875"/>
        <w:gridCol w:w="1890"/>
        <w:gridCol w:w="2260"/>
        <w:gridCol w:w="19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年份</w:t>
            </w:r>
          </w:p>
        </w:tc>
        <w:tc>
          <w:tcPr>
            <w:tcW w:w="10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总流量</w:t>
            </w:r>
            <w:r>
              <w:rPr>
                <w:rFonts w:hint="eastAsia" w:ascii="黑体" w:hAnsi="黑体" w:eastAsia="黑体" w:cs="黑体"/>
                <w:color w:val="000000"/>
                <w:spacing w:val="-11"/>
                <w:kern w:val="2"/>
                <w:sz w:val="24"/>
                <w:szCs w:val="24"/>
                <w:lang w:val="en-US" w:eastAsia="zh-CN" w:bidi="ar-SA"/>
              </w:rPr>
              <w:t>（m³/s）</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运行时间</w:t>
            </w:r>
            <w:r>
              <w:rPr>
                <w:rFonts w:hint="eastAsia" w:ascii="黑体" w:hAnsi="黑体" w:eastAsia="黑体" w:cs="黑体"/>
                <w:color w:val="000000"/>
                <w:spacing w:val="-11"/>
                <w:kern w:val="2"/>
                <w:sz w:val="24"/>
                <w:szCs w:val="24"/>
                <w:lang w:val="en-US" w:eastAsia="zh-CN" w:bidi="ar-SA"/>
              </w:rPr>
              <w:t>（天）</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每天提水时间</w:t>
            </w:r>
            <w:r>
              <w:rPr>
                <w:rFonts w:hint="eastAsia" w:ascii="黑体" w:hAnsi="黑体" w:eastAsia="黑体" w:cs="黑体"/>
                <w:color w:val="000000"/>
                <w:spacing w:val="-11"/>
                <w:kern w:val="2"/>
                <w:sz w:val="24"/>
                <w:szCs w:val="24"/>
                <w:lang w:val="en-US" w:eastAsia="zh-CN" w:bidi="ar-SA"/>
              </w:rPr>
              <w:t>（s）</w:t>
            </w:r>
          </w:p>
        </w:tc>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提水量</w:t>
            </w:r>
            <w:r>
              <w:rPr>
                <w:rFonts w:hint="eastAsia" w:ascii="黑体" w:hAnsi="黑体" w:eastAsia="黑体" w:cs="黑体"/>
                <w:color w:val="000000"/>
                <w:spacing w:val="-11"/>
                <w:kern w:val="2"/>
                <w:sz w:val="24"/>
                <w:szCs w:val="24"/>
                <w:lang w:val="en-US" w:eastAsia="zh-CN" w:bidi="ar-SA"/>
              </w:rPr>
              <w:t>（万m³）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基准年</w:t>
            </w:r>
          </w:p>
        </w:tc>
        <w:tc>
          <w:tcPr>
            <w:tcW w:w="10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28</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72000</w:t>
            </w:r>
          </w:p>
        </w:tc>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4032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exact"/>
          <w:jc w:val="center"/>
        </w:trPr>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规划年</w:t>
            </w:r>
          </w:p>
        </w:tc>
        <w:tc>
          <w:tcPr>
            <w:tcW w:w="103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24</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28</w:t>
            </w:r>
          </w:p>
        </w:tc>
        <w:tc>
          <w:tcPr>
            <w:tcW w:w="12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72000</w:t>
            </w:r>
          </w:p>
        </w:tc>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4838</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经测算，江夏区基准年过境客水可供水量4032万m³/年，规划年泵站提水能力提升，过境客水可供水量增至4838万m³/年，外水补给保障能力持续提升。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highlight w:val="none"/>
          <w:lang w:val="en-US" w:eastAsia="zh-CN" w:bidi="ar-SA"/>
        </w:rPr>
        <w:t>4.水资源供需平衡分析</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综合区域蓄水、提水供水能力与农业灌溉用水需求，全域水资源供需平衡情况详见</w:t>
      </w:r>
      <w:r>
        <w:rPr>
          <w:rFonts w:hint="eastAsia" w:ascii="Times New Roman" w:hAnsi="Times New Roman" w:eastAsia="仿宋_GB2312" w:cs="Times New Roman"/>
          <w:color w:val="000000"/>
          <w:kern w:val="2"/>
          <w:sz w:val="32"/>
          <w:szCs w:val="32"/>
          <w:lang w:val="en-US" w:eastAsia="zh-CN" w:bidi="ar-SA"/>
        </w:rPr>
        <w:t>表1-5。</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表1-5</w:t>
      </w:r>
      <w:r>
        <w:rPr>
          <w:rFonts w:hint="eastAsia" w:ascii="Times New Roman" w:hAnsi="Times New Roman" w:eastAsia="仿宋_GB2312" w:cs="Times New Roman"/>
          <w:color w:val="000000"/>
          <w:kern w:val="2"/>
          <w:sz w:val="32"/>
          <w:szCs w:val="32"/>
          <w:lang w:val="en-US" w:eastAsia="zh-CN" w:bidi="ar-SA"/>
        </w:rPr>
        <w:t>水资源供需平衡表</w:t>
      </w:r>
    </w:p>
    <w:tbl>
      <w:tblPr>
        <w:tblStyle w:val="25"/>
        <w:tblW w:w="4998" w:type="pct"/>
        <w:jc w:val="center"/>
        <w:tblBorders>
          <w:top w:val="single" w:color="000000" w:sz="18" w:space="0"/>
          <w:left w:val="none" w:color="auto" w:sz="0" w:space="0"/>
          <w:bottom w:val="single" w:color="000000" w:sz="18" w:space="0"/>
          <w:right w:val="none" w:color="auto" w:sz="0" w:space="0"/>
          <w:insideH w:val="dotted" w:color="000000" w:sz="4" w:space="0"/>
          <w:insideV w:val="dotted" w:color="000000" w:sz="4" w:space="0"/>
        </w:tblBorders>
        <w:tblLayout w:type="autofit"/>
        <w:tblCellMar>
          <w:top w:w="0" w:type="dxa"/>
          <w:left w:w="108" w:type="dxa"/>
          <w:bottom w:w="0" w:type="dxa"/>
          <w:right w:w="108" w:type="dxa"/>
        </w:tblCellMar>
      </w:tblPr>
      <w:tblGrid>
        <w:gridCol w:w="1796"/>
        <w:gridCol w:w="2414"/>
        <w:gridCol w:w="2140"/>
        <w:gridCol w:w="2707"/>
      </w:tblGrid>
      <w:tr>
        <w:tblPrEx>
          <w:tblBorders>
            <w:top w:val="single" w:color="000000" w:sz="18" w:space="0"/>
            <w:left w:val="none" w:color="auto" w:sz="0" w:space="0"/>
            <w:bottom w:val="single" w:color="000000" w:sz="18"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510" w:hRule="atLeast"/>
          <w:jc w:val="center"/>
        </w:trPr>
        <w:tc>
          <w:tcPr>
            <w:tcW w:w="99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类型</w:t>
            </w:r>
          </w:p>
        </w:tc>
        <w:tc>
          <w:tcPr>
            <w:tcW w:w="1332"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需水量（万m³）</w:t>
            </w:r>
          </w:p>
        </w:tc>
        <w:tc>
          <w:tcPr>
            <w:tcW w:w="1181"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供水量（万m³）</w:t>
            </w:r>
          </w:p>
        </w:tc>
        <w:tc>
          <w:tcPr>
            <w:tcW w:w="1494" w:type="pc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供需情况</w:t>
            </w:r>
          </w:p>
        </w:tc>
      </w:tr>
      <w:tr>
        <w:tblPrEx>
          <w:tblBorders>
            <w:top w:val="single" w:color="000000" w:sz="18" w:space="0"/>
            <w:left w:val="none" w:color="auto" w:sz="0" w:space="0"/>
            <w:bottom w:val="single" w:color="000000" w:sz="18"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510" w:hRule="atLeast"/>
          <w:jc w:val="center"/>
        </w:trPr>
        <w:tc>
          <w:tcPr>
            <w:tcW w:w="991" w:type="pc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基准年</w:t>
            </w:r>
          </w:p>
        </w:tc>
        <w:tc>
          <w:tcPr>
            <w:tcW w:w="1332" w:type="pc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13164</w:t>
            </w:r>
          </w:p>
        </w:tc>
        <w:tc>
          <w:tcPr>
            <w:tcW w:w="1181" w:type="pc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13396</w:t>
            </w:r>
          </w:p>
        </w:tc>
        <w:tc>
          <w:tcPr>
            <w:tcW w:w="1494" w:type="pc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供水量满足需水量</w:t>
            </w:r>
          </w:p>
        </w:tc>
      </w:tr>
      <w:tr>
        <w:tblPrEx>
          <w:tblBorders>
            <w:top w:val="single" w:color="000000" w:sz="18" w:space="0"/>
            <w:left w:val="none" w:color="auto" w:sz="0" w:space="0"/>
            <w:bottom w:val="single" w:color="000000" w:sz="18" w:space="0"/>
            <w:right w:val="none" w:color="auto" w:sz="0" w:space="0"/>
            <w:insideH w:val="dotted" w:color="000000" w:sz="4" w:space="0"/>
            <w:insideV w:val="dotted" w:color="000000" w:sz="4" w:space="0"/>
          </w:tblBorders>
          <w:tblCellMar>
            <w:top w:w="0" w:type="dxa"/>
            <w:left w:w="108" w:type="dxa"/>
            <w:bottom w:w="0" w:type="dxa"/>
            <w:right w:w="108" w:type="dxa"/>
          </w:tblCellMar>
        </w:tblPrEx>
        <w:trPr>
          <w:trHeight w:val="510" w:hRule="atLeast"/>
          <w:jc w:val="center"/>
        </w:trPr>
        <w:tc>
          <w:tcPr>
            <w:tcW w:w="991" w:type="pc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规划年</w:t>
            </w:r>
          </w:p>
        </w:tc>
        <w:tc>
          <w:tcPr>
            <w:tcW w:w="1332" w:type="pc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12660</w:t>
            </w:r>
          </w:p>
        </w:tc>
        <w:tc>
          <w:tcPr>
            <w:tcW w:w="1181" w:type="pc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20445</w:t>
            </w:r>
          </w:p>
        </w:tc>
        <w:tc>
          <w:tcPr>
            <w:tcW w:w="1494" w:type="pct"/>
            <w:tcBorders>
              <w:top w:val="single" w:color="auto" w:sz="4" w:space="0"/>
              <w:left w:val="single" w:color="auto" w:sz="4" w:space="0"/>
              <w:bottom w:val="single" w:color="auto" w:sz="4" w:space="0"/>
              <w:righ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供水量满足需水量</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综上，江夏区水资源总量充足、供水保障能力较强，基准年、规划年均可实现水资源供需平衡，能够全面满足本轮2026-2030年高标准农田新建、提质改造后的全域农业灌溉用水需求，为农田稳产高产、水资源集约节约利用提供了坚实的水源保障。</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黑体" w:hAnsi="黑体" w:eastAsia="黑体" w:cs="黑体"/>
          <w:color w:val="000000"/>
          <w:kern w:val="2"/>
          <w:sz w:val="32"/>
          <w:szCs w:val="32"/>
          <w:highlight w:val="none"/>
          <w:lang w:val="en-US" w:eastAsia="zh-CN" w:bidi="ar-SA"/>
        </w:rPr>
      </w:pPr>
      <w:bookmarkStart w:id="22" w:name="_Toc4280"/>
      <w:bookmarkStart w:id="23" w:name="_Toc11765"/>
      <w:r>
        <w:rPr>
          <w:rFonts w:hint="eastAsia" w:ascii="黑体" w:hAnsi="黑体" w:eastAsia="黑体" w:cs="黑体"/>
          <w:color w:val="000000"/>
          <w:kern w:val="2"/>
          <w:sz w:val="32"/>
          <w:szCs w:val="32"/>
          <w:highlight w:val="none"/>
          <w:lang w:val="en-US" w:eastAsia="zh-CN" w:bidi="ar-SA"/>
        </w:rPr>
        <w:fldChar w:fldCharType="begin"/>
      </w:r>
      <w:r>
        <w:rPr>
          <w:rFonts w:hint="eastAsia" w:ascii="黑体" w:hAnsi="黑体" w:eastAsia="黑体" w:cs="黑体"/>
          <w:color w:val="000000"/>
          <w:kern w:val="2"/>
          <w:sz w:val="32"/>
          <w:szCs w:val="32"/>
          <w:highlight w:val="none"/>
          <w:lang w:val="en-US" w:eastAsia="zh-CN" w:bidi="ar-SA"/>
        </w:rPr>
        <w:instrText xml:space="preserve"> HYPERLINK \l "_Toc488154043" </w:instrText>
      </w:r>
      <w:r>
        <w:rPr>
          <w:rFonts w:hint="eastAsia" w:ascii="黑体" w:hAnsi="黑体" w:eastAsia="黑体" w:cs="黑体"/>
          <w:color w:val="000000"/>
          <w:kern w:val="2"/>
          <w:sz w:val="32"/>
          <w:szCs w:val="32"/>
          <w:highlight w:val="none"/>
          <w:lang w:val="en-US" w:eastAsia="zh-CN" w:bidi="ar-SA"/>
        </w:rPr>
        <w:fldChar w:fldCharType="separate"/>
      </w:r>
      <w:r>
        <w:rPr>
          <w:rFonts w:hint="eastAsia" w:ascii="黑体" w:hAnsi="黑体" w:eastAsia="黑体" w:cs="黑体"/>
          <w:color w:val="000000"/>
          <w:kern w:val="2"/>
          <w:sz w:val="32"/>
          <w:szCs w:val="32"/>
          <w:highlight w:val="none"/>
          <w:lang w:val="en-US" w:eastAsia="zh-CN" w:bidi="ar-SA"/>
        </w:rPr>
        <w:t>二、</w:t>
      </w:r>
      <w:r>
        <w:rPr>
          <w:rFonts w:hint="eastAsia" w:ascii="黑体" w:hAnsi="黑体" w:eastAsia="黑体" w:cs="黑体"/>
          <w:color w:val="000000"/>
          <w:kern w:val="2"/>
          <w:sz w:val="32"/>
          <w:szCs w:val="32"/>
          <w:highlight w:val="none"/>
          <w:lang w:val="en-US" w:eastAsia="zh-CN" w:bidi="ar-SA"/>
        </w:rPr>
        <w:fldChar w:fldCharType="end"/>
      </w:r>
      <w:r>
        <w:rPr>
          <w:rFonts w:hint="eastAsia" w:ascii="黑体" w:hAnsi="黑体" w:eastAsia="黑体" w:cs="黑体"/>
          <w:color w:val="000000"/>
          <w:kern w:val="2"/>
          <w:sz w:val="32"/>
          <w:szCs w:val="32"/>
          <w:highlight w:val="none"/>
          <w:lang w:val="en-US" w:eastAsia="zh-CN" w:bidi="ar-SA"/>
        </w:rPr>
        <w:t>建设现状</w:t>
      </w:r>
      <w:bookmarkEnd w:id="22"/>
      <w:bookmarkEnd w:id="2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楷体_GB2312" w:cs="Times New Roman"/>
          <w:color w:val="000000"/>
          <w:kern w:val="2"/>
          <w:sz w:val="32"/>
          <w:szCs w:val="32"/>
          <w:highlight w:val="none"/>
          <w:lang w:val="en-US" w:eastAsia="zh-CN" w:bidi="ar-SA"/>
        </w:rPr>
      </w:pPr>
      <w:bookmarkStart w:id="24" w:name="_Toc10575"/>
      <w:r>
        <w:rPr>
          <w:rFonts w:hint="eastAsia" w:ascii="Times New Roman" w:hAnsi="Times New Roman" w:eastAsia="楷体_GB2312" w:cs="Times New Roman"/>
          <w:color w:val="000000"/>
          <w:kern w:val="2"/>
          <w:sz w:val="32"/>
          <w:szCs w:val="32"/>
          <w:highlight w:val="none"/>
          <w:lang w:val="en-US" w:eastAsia="zh-CN" w:bidi="ar-SA"/>
        </w:rPr>
        <w:t>（一）高标准农田建设完成情况</w:t>
      </w:r>
      <w:bookmarkEnd w:id="2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截</w:t>
      </w:r>
      <w:r>
        <w:rPr>
          <w:rFonts w:hint="eastAsia" w:eastAsia="仿宋_GB2312" w:cs="Times New Roman"/>
          <w:color w:val="000000"/>
          <w:kern w:val="2"/>
          <w:sz w:val="32"/>
          <w:szCs w:val="32"/>
          <w:highlight w:val="none"/>
          <w:lang w:val="en-US" w:eastAsia="zh-CN" w:bidi="ar-SA"/>
        </w:rPr>
        <w:t>至</w:t>
      </w:r>
      <w:r>
        <w:rPr>
          <w:rFonts w:hint="eastAsia" w:ascii="Times New Roman" w:hAnsi="Times New Roman" w:eastAsia="仿宋_GB2312" w:cs="Times New Roman"/>
          <w:color w:val="000000"/>
          <w:kern w:val="2"/>
          <w:sz w:val="32"/>
          <w:szCs w:val="32"/>
          <w:highlight w:val="none"/>
          <w:lang w:val="en-US" w:eastAsia="zh-CN" w:bidi="ar-SA"/>
        </w:rPr>
        <w:t>202</w:t>
      </w:r>
      <w:r>
        <w:rPr>
          <w:rFonts w:hint="eastAsia" w:eastAsia="仿宋_GB2312" w:cs="Times New Roman"/>
          <w:color w:val="000000"/>
          <w:kern w:val="2"/>
          <w:sz w:val="32"/>
          <w:szCs w:val="32"/>
          <w:highlight w:val="none"/>
          <w:lang w:val="en-US" w:eastAsia="zh-CN" w:bidi="ar-SA"/>
        </w:rPr>
        <w:t>5</w:t>
      </w:r>
      <w:r>
        <w:rPr>
          <w:rFonts w:hint="eastAsia" w:ascii="Times New Roman" w:hAnsi="Times New Roman" w:eastAsia="仿宋_GB2312" w:cs="Times New Roman"/>
          <w:color w:val="000000"/>
          <w:kern w:val="2"/>
          <w:sz w:val="32"/>
          <w:szCs w:val="32"/>
          <w:highlight w:val="none"/>
          <w:lang w:val="en-US" w:eastAsia="zh-CN" w:bidi="ar-SA"/>
        </w:rPr>
        <w:t>年</w:t>
      </w:r>
      <w:r>
        <w:rPr>
          <w:rFonts w:hint="eastAsia" w:eastAsia="仿宋_GB2312" w:cs="Times New Roman"/>
          <w:color w:val="000000"/>
          <w:kern w:val="2"/>
          <w:sz w:val="32"/>
          <w:szCs w:val="32"/>
          <w:highlight w:val="none"/>
          <w:lang w:val="en-US" w:eastAsia="zh-CN" w:bidi="ar-SA"/>
        </w:rPr>
        <w:t>底</w:t>
      </w:r>
      <w:r>
        <w:rPr>
          <w:rFonts w:hint="eastAsia" w:ascii="Times New Roman" w:hAnsi="Times New Roman" w:eastAsia="仿宋_GB2312" w:cs="Times New Roman"/>
          <w:color w:val="000000"/>
          <w:kern w:val="2"/>
          <w:sz w:val="32"/>
          <w:szCs w:val="32"/>
          <w:highlight w:val="none"/>
          <w:lang w:val="en-US" w:eastAsia="zh-CN" w:bidi="ar-SA"/>
        </w:rPr>
        <w:t>，江夏区</w:t>
      </w:r>
      <w:r>
        <w:rPr>
          <w:rFonts w:hint="eastAsia" w:eastAsia="仿宋_GB2312" w:cs="Times New Roman"/>
          <w:color w:val="000000"/>
          <w:kern w:val="2"/>
          <w:sz w:val="32"/>
          <w:szCs w:val="32"/>
          <w:highlight w:val="none"/>
          <w:lang w:val="en-US" w:eastAsia="zh-CN" w:bidi="ar-SA"/>
        </w:rPr>
        <w:t>累计</w:t>
      </w:r>
      <w:r>
        <w:rPr>
          <w:rFonts w:hint="eastAsia" w:ascii="Times New Roman" w:hAnsi="Times New Roman" w:eastAsia="仿宋_GB2312" w:cs="Times New Roman"/>
          <w:color w:val="000000"/>
          <w:kern w:val="2"/>
          <w:sz w:val="32"/>
          <w:szCs w:val="32"/>
          <w:highlight w:val="none"/>
          <w:lang w:val="en-US" w:eastAsia="zh-CN" w:bidi="ar-SA"/>
        </w:rPr>
        <w:t>建成高标准农田建设项目8</w:t>
      </w:r>
      <w:r>
        <w:rPr>
          <w:rFonts w:hint="eastAsia" w:eastAsia="仿宋_GB2312" w:cs="Times New Roman"/>
          <w:color w:val="000000"/>
          <w:kern w:val="2"/>
          <w:sz w:val="32"/>
          <w:szCs w:val="32"/>
          <w:highlight w:val="none"/>
          <w:lang w:val="en-US" w:eastAsia="zh-CN" w:bidi="ar-SA"/>
        </w:rPr>
        <w:t>4</w:t>
      </w:r>
      <w:r>
        <w:rPr>
          <w:rFonts w:hint="eastAsia" w:ascii="Times New Roman" w:hAnsi="Times New Roman" w:eastAsia="仿宋_GB2312" w:cs="Times New Roman"/>
          <w:color w:val="000000"/>
          <w:kern w:val="2"/>
          <w:sz w:val="32"/>
          <w:szCs w:val="32"/>
          <w:highlight w:val="none"/>
          <w:lang w:val="en-US" w:eastAsia="zh-CN" w:bidi="ar-SA"/>
        </w:rPr>
        <w:t>个</w:t>
      </w:r>
      <w:r>
        <w:rPr>
          <w:rFonts w:hint="eastAsia" w:eastAsia="仿宋_GB2312" w:cs="Times New Roman"/>
          <w:color w:val="000000"/>
          <w:kern w:val="2"/>
          <w:sz w:val="32"/>
          <w:szCs w:val="32"/>
          <w:highlight w:val="none"/>
          <w:lang w:val="en-US" w:eastAsia="zh-CN" w:bidi="ar-SA"/>
        </w:rPr>
        <w:t>（完工项目）</w:t>
      </w:r>
      <w:r>
        <w:rPr>
          <w:rFonts w:hint="eastAsia" w:ascii="Times New Roman" w:hAnsi="Times New Roman" w:eastAsia="仿宋_GB2312" w:cs="Times New Roman"/>
          <w:color w:val="000000"/>
          <w:kern w:val="2"/>
          <w:sz w:val="32"/>
          <w:szCs w:val="32"/>
          <w:highlight w:val="none"/>
          <w:lang w:val="en-US" w:eastAsia="zh-CN" w:bidi="ar-SA"/>
        </w:rPr>
        <w:t>，建设规模</w:t>
      </w:r>
      <w:r>
        <w:rPr>
          <w:rFonts w:hint="eastAsia" w:eastAsia="仿宋_GB2312" w:cs="Times New Roman"/>
          <w:color w:val="000000"/>
          <w:kern w:val="2"/>
          <w:sz w:val="32"/>
          <w:szCs w:val="32"/>
          <w:highlight w:val="none"/>
          <w:lang w:val="en-US" w:eastAsia="zh-CN" w:bidi="ar-SA"/>
        </w:rPr>
        <w:t>79.16</w:t>
      </w:r>
      <w:r>
        <w:rPr>
          <w:rFonts w:hint="eastAsia" w:ascii="Times New Roman" w:hAnsi="Times New Roman" w:eastAsia="仿宋_GB2312" w:cs="Times New Roman"/>
          <w:color w:val="000000"/>
          <w:kern w:val="2"/>
          <w:sz w:val="32"/>
          <w:szCs w:val="32"/>
          <w:highlight w:val="none"/>
          <w:lang w:val="en-US" w:eastAsia="zh-CN" w:bidi="ar-SA"/>
        </w:rPr>
        <w:t>万亩（包含</w:t>
      </w:r>
      <w:r>
        <w:rPr>
          <w:rFonts w:hint="eastAsia" w:eastAsia="仿宋_GB2312" w:cs="Times New Roman"/>
          <w:color w:val="000000"/>
          <w:kern w:val="2"/>
          <w:sz w:val="32"/>
          <w:szCs w:val="32"/>
          <w:highlight w:val="none"/>
          <w:lang w:val="en-US" w:eastAsia="zh-CN" w:bidi="ar-SA"/>
        </w:rPr>
        <w:t>新建和改造提升</w:t>
      </w:r>
      <w:r>
        <w:rPr>
          <w:rFonts w:hint="eastAsia" w:ascii="Times New Roman" w:hAnsi="Times New Roman" w:eastAsia="仿宋_GB2312" w:cs="Times New Roman"/>
          <w:color w:val="000000"/>
          <w:kern w:val="2"/>
          <w:sz w:val="32"/>
          <w:szCs w:val="32"/>
          <w:highlight w:val="none"/>
          <w:lang w:val="en-US" w:eastAsia="zh-CN" w:bidi="ar-SA"/>
        </w:rPr>
        <w:t>面积），总投资</w:t>
      </w:r>
      <w:r>
        <w:rPr>
          <w:rFonts w:hint="eastAsia" w:eastAsia="仿宋_GB2312" w:cs="Times New Roman"/>
          <w:color w:val="000000"/>
          <w:kern w:val="2"/>
          <w:sz w:val="32"/>
          <w:szCs w:val="32"/>
          <w:highlight w:val="none"/>
          <w:lang w:val="en-US" w:eastAsia="zh-CN" w:bidi="ar-SA"/>
        </w:rPr>
        <w:t>14.83</w:t>
      </w:r>
      <w:r>
        <w:rPr>
          <w:rFonts w:hint="eastAsia" w:ascii="Times New Roman" w:hAnsi="Times New Roman" w:eastAsia="仿宋_GB2312" w:cs="Times New Roman"/>
          <w:color w:val="000000"/>
          <w:kern w:val="2"/>
          <w:sz w:val="32"/>
          <w:szCs w:val="32"/>
          <w:highlight w:val="none"/>
          <w:lang w:val="en-US" w:eastAsia="zh-CN" w:bidi="ar-SA"/>
        </w:rPr>
        <w:t>亿元。多年持续建设有效夯实了区域粮食产能根基，完善了农田基础设施体系，为新一轮高标准农田提质升级、查漏补缺、全域提质奠定了坚实的工程基础。</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楷体_GB2312" w:cs="Times New Roman"/>
          <w:color w:val="000000"/>
          <w:kern w:val="2"/>
          <w:sz w:val="32"/>
          <w:szCs w:val="32"/>
          <w:lang w:val="en-US" w:eastAsia="zh-CN" w:bidi="ar-SA"/>
        </w:rPr>
      </w:pPr>
      <w:bookmarkStart w:id="25" w:name="_Toc673"/>
      <w:r>
        <w:rPr>
          <w:rFonts w:hint="eastAsia" w:ascii="Times New Roman" w:hAnsi="Times New Roman" w:eastAsia="楷体_GB2312" w:cs="Times New Roman"/>
          <w:color w:val="000000"/>
          <w:kern w:val="2"/>
          <w:sz w:val="32"/>
          <w:szCs w:val="32"/>
          <w:lang w:val="en-US" w:eastAsia="zh-CN" w:bidi="ar-SA"/>
        </w:rPr>
        <w:t>（二）高标准农田建设与</w:t>
      </w:r>
      <w:r>
        <w:rPr>
          <w:rFonts w:hint="eastAsia" w:eastAsia="楷体_GB2312" w:cs="Times New Roman"/>
          <w:color w:val="000000"/>
          <w:kern w:val="2"/>
          <w:sz w:val="32"/>
          <w:szCs w:val="32"/>
          <w:lang w:val="en-US" w:eastAsia="zh-CN" w:bidi="ar-SA"/>
        </w:rPr>
        <w:t>永久基本农田</w:t>
      </w:r>
      <w:r>
        <w:rPr>
          <w:rFonts w:hint="eastAsia" w:ascii="Times New Roman" w:hAnsi="Times New Roman" w:eastAsia="楷体_GB2312" w:cs="Times New Roman"/>
          <w:color w:val="000000"/>
          <w:kern w:val="2"/>
          <w:sz w:val="32"/>
          <w:szCs w:val="32"/>
          <w:lang w:val="en-US" w:eastAsia="zh-CN" w:bidi="ar-SA"/>
        </w:rPr>
        <w:t>关系</w:t>
      </w:r>
      <w:bookmarkEnd w:id="2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lang w:val="en-US" w:eastAsia="zh-CN" w:bidi="ar-SA"/>
        </w:rPr>
        <w:t>根据</w:t>
      </w:r>
      <w:r>
        <w:rPr>
          <w:rFonts w:hint="eastAsia" w:ascii="Times New Roman" w:hAnsi="Times New Roman" w:eastAsia="仿宋_GB2312" w:cs="Times New Roman"/>
          <w:color w:val="auto"/>
          <w:spacing w:val="0"/>
          <w:kern w:val="0"/>
          <w:sz w:val="32"/>
          <w:szCs w:val="32"/>
          <w:highlight w:val="none"/>
          <w:lang w:val="en-US" w:eastAsia="zh-CN" w:bidi="ar-SA"/>
        </w:rPr>
        <w:t>《武汉市江夏区国土空间总体规划动态维护方案（2026年度）》</w:t>
      </w:r>
      <w:r>
        <w:rPr>
          <w:rFonts w:hint="eastAsia" w:ascii="Times New Roman" w:hAnsi="Times New Roman" w:eastAsia="仿宋_GB2312" w:cs="Times New Roman"/>
          <w:color w:val="000000"/>
          <w:kern w:val="2"/>
          <w:sz w:val="32"/>
          <w:szCs w:val="32"/>
          <w:lang w:val="en-US" w:eastAsia="zh-CN" w:bidi="ar-SA"/>
        </w:rPr>
        <w:t>，江夏区</w:t>
      </w:r>
      <w:r>
        <w:rPr>
          <w:rFonts w:hint="eastAsia" w:eastAsia="仿宋_GB2312" w:cs="Times New Roman"/>
          <w:color w:val="000000"/>
          <w:kern w:val="2"/>
          <w:sz w:val="32"/>
          <w:szCs w:val="32"/>
          <w:lang w:val="en-US" w:eastAsia="zh-CN" w:bidi="ar-SA"/>
        </w:rPr>
        <w:t>实际管辖区域耕地保有量60.55万亩、永久基本农田</w:t>
      </w:r>
      <w:r>
        <w:rPr>
          <w:rFonts w:hint="eastAsia" w:ascii="Times New Roman" w:hAnsi="Times New Roman" w:eastAsia="仿宋_GB2312" w:cs="Times New Roman"/>
          <w:color w:val="000000"/>
          <w:kern w:val="2"/>
          <w:sz w:val="32"/>
          <w:szCs w:val="32"/>
          <w:highlight w:val="none"/>
          <w:lang w:val="en-US" w:eastAsia="zh-CN" w:bidi="ar-SA"/>
        </w:rPr>
        <w:t>面积</w:t>
      </w:r>
      <w:r>
        <w:rPr>
          <w:rFonts w:hint="eastAsia" w:eastAsia="仿宋_GB2312" w:cs="Times New Roman"/>
          <w:color w:val="000000"/>
          <w:kern w:val="2"/>
          <w:sz w:val="32"/>
          <w:szCs w:val="32"/>
          <w:highlight w:val="none"/>
          <w:lang w:val="en-US" w:eastAsia="zh-CN" w:bidi="ar-SA"/>
        </w:rPr>
        <w:t>57.81万</w:t>
      </w:r>
      <w:r>
        <w:rPr>
          <w:rFonts w:hint="eastAsia" w:ascii="Times New Roman" w:hAnsi="Times New Roman" w:eastAsia="仿宋_GB2312" w:cs="Times New Roman"/>
          <w:color w:val="000000"/>
          <w:kern w:val="2"/>
          <w:sz w:val="32"/>
          <w:szCs w:val="32"/>
          <w:highlight w:val="none"/>
          <w:lang w:val="en-US" w:eastAsia="zh-CN" w:bidi="ar-SA"/>
        </w:rPr>
        <w:t>亩，截至2025年底，全区</w:t>
      </w:r>
      <w:r>
        <w:rPr>
          <w:rFonts w:hint="eastAsia" w:eastAsia="仿宋_GB2312" w:cs="Times New Roman"/>
          <w:color w:val="000000"/>
          <w:kern w:val="2"/>
          <w:sz w:val="32"/>
          <w:szCs w:val="32"/>
          <w:highlight w:val="none"/>
          <w:lang w:val="en-US" w:eastAsia="zh-CN" w:bidi="ar-SA"/>
        </w:rPr>
        <w:t>永久基本农田上</w:t>
      </w:r>
      <w:r>
        <w:rPr>
          <w:rFonts w:hint="eastAsia" w:ascii="Times New Roman" w:hAnsi="Times New Roman" w:eastAsia="仿宋_GB2312" w:cs="Times New Roman"/>
          <w:color w:val="000000"/>
          <w:kern w:val="2"/>
          <w:sz w:val="32"/>
          <w:szCs w:val="32"/>
          <w:highlight w:val="none"/>
          <w:lang w:val="en-US" w:eastAsia="zh-CN" w:bidi="ar-SA"/>
        </w:rPr>
        <w:t>已建成高标准农田</w:t>
      </w:r>
      <w:r>
        <w:rPr>
          <w:rFonts w:hint="eastAsia" w:eastAsia="仿宋_GB2312" w:cs="Times New Roman"/>
          <w:color w:val="000000"/>
          <w:kern w:val="2"/>
          <w:sz w:val="32"/>
          <w:szCs w:val="32"/>
          <w:highlight w:val="none"/>
          <w:lang w:val="en-US" w:eastAsia="zh-CN" w:bidi="ar-SA"/>
        </w:rPr>
        <w:t>37.47</w:t>
      </w:r>
      <w:r>
        <w:rPr>
          <w:rFonts w:hint="eastAsia" w:ascii="Times New Roman" w:hAnsi="Times New Roman" w:eastAsia="仿宋_GB2312" w:cs="Times New Roman"/>
          <w:color w:val="000000"/>
          <w:kern w:val="2"/>
          <w:sz w:val="32"/>
          <w:szCs w:val="32"/>
          <w:highlight w:val="none"/>
          <w:lang w:val="en-US" w:eastAsia="zh-CN" w:bidi="ar-SA"/>
        </w:rPr>
        <w:t>万亩（</w:t>
      </w:r>
      <w:r>
        <w:rPr>
          <w:rFonts w:hint="eastAsia" w:eastAsia="仿宋_GB2312" w:cs="Times New Roman"/>
          <w:color w:val="000000"/>
          <w:kern w:val="2"/>
          <w:sz w:val="32"/>
          <w:szCs w:val="32"/>
          <w:highlight w:val="none"/>
          <w:lang w:val="en-US" w:eastAsia="zh-CN" w:bidi="ar-SA"/>
        </w:rPr>
        <w:t>不含改造提升重叠面积</w:t>
      </w:r>
      <w:r>
        <w:rPr>
          <w:rFonts w:hint="eastAsia" w:ascii="Times New Roman" w:hAnsi="Times New Roman" w:eastAsia="仿宋_GB2312" w:cs="Times New Roman"/>
          <w:color w:val="000000"/>
          <w:kern w:val="2"/>
          <w:sz w:val="32"/>
          <w:szCs w:val="32"/>
          <w:highlight w:val="none"/>
          <w:lang w:val="en-US" w:eastAsia="zh-CN" w:bidi="ar-SA"/>
        </w:rPr>
        <w:t>），</w:t>
      </w:r>
      <w:r>
        <w:rPr>
          <w:rFonts w:hint="eastAsia" w:eastAsia="仿宋_GB2312" w:cs="Times New Roman"/>
          <w:color w:val="000000"/>
          <w:kern w:val="2"/>
          <w:sz w:val="32"/>
          <w:szCs w:val="32"/>
          <w:highlight w:val="none"/>
          <w:lang w:val="en-US" w:eastAsia="zh-CN" w:bidi="ar-SA"/>
        </w:rPr>
        <w:t>永久基本农田</w:t>
      </w:r>
      <w:r>
        <w:rPr>
          <w:rFonts w:hint="eastAsia" w:ascii="Times New Roman" w:hAnsi="Times New Roman" w:eastAsia="仿宋_GB2312" w:cs="Times New Roman"/>
          <w:color w:val="000000"/>
          <w:kern w:val="2"/>
          <w:sz w:val="32"/>
          <w:szCs w:val="32"/>
          <w:highlight w:val="none"/>
          <w:lang w:val="en-US" w:eastAsia="zh-CN" w:bidi="ar-SA"/>
        </w:rPr>
        <w:t>上高标准农田覆盖率达</w:t>
      </w:r>
      <w:r>
        <w:rPr>
          <w:rFonts w:hint="eastAsia" w:eastAsia="仿宋_GB2312" w:cs="Times New Roman"/>
          <w:color w:val="000000"/>
          <w:kern w:val="2"/>
          <w:sz w:val="32"/>
          <w:szCs w:val="32"/>
          <w:highlight w:val="none"/>
          <w:lang w:val="en-US" w:eastAsia="zh-CN" w:bidi="ar-SA"/>
        </w:rPr>
        <w:t>64.77</w:t>
      </w:r>
      <w:r>
        <w:rPr>
          <w:rFonts w:hint="eastAsia" w:ascii="Times New Roman" w:hAnsi="Times New Roman" w:eastAsia="仿宋_GB2312" w:cs="Times New Roman"/>
          <w:color w:val="000000"/>
          <w:kern w:val="2"/>
          <w:sz w:val="32"/>
          <w:szCs w:val="32"/>
          <w:highlight w:val="none"/>
          <w:lang w:val="en-US" w:eastAsia="zh-CN" w:bidi="ar-SA"/>
        </w:rPr>
        <w:t>%。现有建设成果有效强化了永久基本农田保护力度，稳固了核心耕地产能，同时仍存在一定建设空白区域，是本轮规划期高标准农田提质扩面的重点布局区域。</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楷体_GB2312" w:cs="Times New Roman"/>
          <w:color w:val="000000"/>
          <w:kern w:val="2"/>
          <w:sz w:val="32"/>
          <w:szCs w:val="32"/>
          <w:lang w:val="en-US" w:eastAsia="zh-CN" w:bidi="ar-SA"/>
        </w:rPr>
      </w:pPr>
      <w:bookmarkStart w:id="26" w:name="_Toc28634"/>
      <w:r>
        <w:rPr>
          <w:rFonts w:hint="default" w:ascii="Times New Roman" w:hAnsi="Times New Roman" w:eastAsia="楷体_GB2312" w:cs="Times New Roman"/>
          <w:color w:val="000000"/>
          <w:kern w:val="2"/>
          <w:sz w:val="32"/>
          <w:szCs w:val="32"/>
          <w:lang w:val="en-US" w:eastAsia="zh-CN" w:bidi="ar-SA"/>
        </w:rPr>
        <w:t>（三）高标准农田建设与</w:t>
      </w:r>
      <w:r>
        <w:rPr>
          <w:rFonts w:hint="eastAsia" w:ascii="Times New Roman" w:hAnsi="Times New Roman" w:eastAsia="楷体_GB2312" w:cs="Times New Roman"/>
          <w:color w:val="000000"/>
          <w:kern w:val="2"/>
          <w:sz w:val="32"/>
          <w:szCs w:val="32"/>
          <w:lang w:val="en-US" w:eastAsia="zh-CN" w:bidi="ar-SA"/>
        </w:rPr>
        <w:t>“</w:t>
      </w:r>
      <w:r>
        <w:rPr>
          <w:rFonts w:hint="default" w:ascii="Times New Roman" w:hAnsi="Times New Roman" w:eastAsia="楷体_GB2312" w:cs="Times New Roman"/>
          <w:color w:val="000000"/>
          <w:kern w:val="2"/>
          <w:sz w:val="32"/>
          <w:szCs w:val="32"/>
          <w:lang w:val="en-US" w:eastAsia="zh-CN" w:bidi="ar-SA"/>
        </w:rPr>
        <w:t>两区</w:t>
      </w:r>
      <w:r>
        <w:rPr>
          <w:rFonts w:hint="eastAsia" w:ascii="Times New Roman" w:hAnsi="Times New Roman" w:eastAsia="楷体_GB2312" w:cs="Times New Roman"/>
          <w:color w:val="000000"/>
          <w:kern w:val="2"/>
          <w:sz w:val="32"/>
          <w:szCs w:val="32"/>
          <w:lang w:val="en-US" w:eastAsia="zh-CN" w:bidi="ar-SA"/>
        </w:rPr>
        <w:t>”</w:t>
      </w:r>
      <w:r>
        <w:rPr>
          <w:rFonts w:hint="default" w:ascii="Times New Roman" w:hAnsi="Times New Roman" w:eastAsia="楷体_GB2312" w:cs="Times New Roman"/>
          <w:color w:val="000000"/>
          <w:kern w:val="2"/>
          <w:sz w:val="32"/>
          <w:szCs w:val="32"/>
          <w:lang w:val="en-US" w:eastAsia="zh-CN" w:bidi="ar-SA"/>
        </w:rPr>
        <w:t>关系</w:t>
      </w:r>
      <w:bookmarkEnd w:id="2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仿宋_GB2312" w:cs="Times New Roman"/>
          <w:color w:val="000000"/>
          <w:kern w:val="2"/>
          <w:sz w:val="32"/>
          <w:szCs w:val="32"/>
          <w:lang w:val="en-US" w:eastAsia="zh-CN" w:bidi="ar-SA"/>
        </w:rPr>
        <w:t>根据江夏区“两区”划定成果，</w:t>
      </w:r>
      <w:r>
        <w:rPr>
          <w:rFonts w:hint="eastAsia" w:eastAsia="仿宋_GB2312" w:cs="Times New Roman"/>
          <w:color w:val="000000"/>
          <w:kern w:val="2"/>
          <w:sz w:val="32"/>
          <w:szCs w:val="32"/>
          <w:lang w:val="en-US" w:eastAsia="zh-CN" w:bidi="ar-SA"/>
        </w:rPr>
        <w:t>全</w:t>
      </w:r>
      <w:r>
        <w:rPr>
          <w:rFonts w:hint="eastAsia" w:ascii="Times New Roman" w:hAnsi="Times New Roman" w:eastAsia="仿宋_GB2312" w:cs="Times New Roman"/>
          <w:color w:val="000000"/>
          <w:kern w:val="2"/>
          <w:sz w:val="32"/>
          <w:szCs w:val="32"/>
          <w:lang w:val="en-US" w:eastAsia="zh-CN" w:bidi="ar-SA"/>
        </w:rPr>
        <w:t>区粮食生产功能区、重要农产品生产保护区面积共28.34万亩，截至2025年底，我区在“两区”范围内建成高标准农田22.46万亩，覆盖率达79.25%。</w:t>
      </w:r>
      <w:r>
        <w:rPr>
          <w:rFonts w:hint="eastAsia" w:ascii="Times New Roman" w:hAnsi="Times New Roman" w:eastAsia="仿宋_GB2312" w:cs="Times New Roman"/>
          <w:color w:val="000000"/>
          <w:kern w:val="2"/>
          <w:sz w:val="32"/>
          <w:szCs w:val="32"/>
          <w:highlight w:val="none"/>
          <w:lang w:val="en-US" w:eastAsia="zh-CN" w:bidi="ar-SA"/>
        </w:rPr>
        <w:t>高覆盖率的农田建设有效保障了核心产区农业生产条件，提升了重点产区防灾抗灾能力与产能水平，本轮规划将持续聚焦“两区”全域提质，实现核心生产区域高标准农田建设全覆盖、质量全提升。</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专栏1</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江夏区“十二五”以来高标准农田建设统计表</w:t>
      </w:r>
    </w:p>
    <w:p>
      <w:pPr>
        <w:pStyle w:val="8"/>
        <w:ind w:left="0" w:leftChars="0" w:firstLine="0" w:firstLineChars="0"/>
        <w:rPr>
          <w:rFonts w:hint="eastAsia"/>
        </w:rPr>
      </w:pPr>
    </w:p>
    <w:tbl>
      <w:tblPr>
        <w:tblStyle w:val="25"/>
        <w:tblW w:w="14505" w:type="dxa"/>
        <w:tblInd w:w="9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0"/>
        <w:gridCol w:w="4254"/>
        <w:gridCol w:w="978"/>
        <w:gridCol w:w="1220"/>
        <w:gridCol w:w="3115"/>
        <w:gridCol w:w="1925"/>
        <w:gridCol w:w="2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序号</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项目名称</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年度</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街道</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建设地点</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规模/亩</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000000"/>
                <w:sz w:val="24"/>
                <w:szCs w:val="24"/>
                <w:u w:val="none"/>
                <w:lang w:val="en-US"/>
              </w:rPr>
            </w:pPr>
            <w:r>
              <w:rPr>
                <w:rFonts w:hint="eastAsia" w:ascii="黑体" w:hAnsi="宋体" w:eastAsia="黑体" w:cs="黑体"/>
                <w:i w:val="0"/>
                <w:iCs w:val="0"/>
                <w:color w:val="000000"/>
                <w:kern w:val="0"/>
                <w:sz w:val="24"/>
                <w:szCs w:val="24"/>
                <w:u w:val="none"/>
                <w:lang w:val="en-US" w:eastAsia="zh-CN" w:bidi="ar"/>
              </w:rPr>
              <w:t>总投资/万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2012年安山街普安中低产田改造项目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江夏区安山街安山、普安村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武汉市江夏区五里界“四化同步”示范镇基本农田土地整理项目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五里界街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江夏区五里界街道</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4679.73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武汉市江夏区法泗镇石岭基本农田土地整理项目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江夏区法泗石岭</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13048.05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3137.74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江夏区金水农场2012年度土地整治项目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金水</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江夏区金水农场</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1368.57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武汉市江夏区金水果茶所基本农田土地整理项目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江夏区金口街</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1874.82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江夏区2015年新增千亿斤粮食产能规划田间工程建设项目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江夏区舒安街分水、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贡如、嗣孟、瓦窑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12499.95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武汉市江夏区金水农场鲁湖、复兴寺两个分场2014年高标准基本农田土地整治项目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金水</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武汉市江夏区金水农场鲁湖、复兴寺</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8056</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1156.24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武汉市江夏区山坡乡山坡湖高标准农田建设示范工程项目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江夏区山坡街光星、光明、和尚桥村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武汉市江夏区山坡街卢家畈高标准农田建设示范项目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江夏区山坡街卢家畈</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1894.20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武汉市江夏区法泗镇弓字港高标准农田建设示范工程项目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江夏区法泗街桂山、农科、东港、法泗村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1665.00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江夏区2013年新增千亿斤粮食生产能力规划田间工程建设项目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江夏区金口街大罾口村、前进村、青菱村、中湾村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12499.5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江夏区山坡街曙光高标准农田建设项目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江夏区山坡街向阳一、光辉、曙光村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9988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江夏区山坡街官南垸高标准农田建设项目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江夏区山坡街胜丰、官南、高峰村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10091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江夏区乌龙泉街园艺场高标准农田建设项目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江夏区乌龙泉街园艺场</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江夏区2011年新增千亿斤粮食生产能力规划田间工程建设项目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江夏区乌龙泉街群建村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、四化村、新建村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18600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929.03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江夏区2014年新增千亿斤粮食生产能力规划田间工程建设项目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江夏区舒安街分水、贡如、嗣孟、瓦窑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8299.85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武汉市江夏区法泗街八墩高标准农田建设项目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江夏区法泗街八塘、新墩村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武汉市江夏区法泗街西港高标准农田建设项目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江夏区法泗街西港村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武汉市江夏区山坡街鸦雀湾高标准农田建设项目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江夏区山坡街建设、前途村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696.40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武汉市江夏区法泗镇新农村试点土地整理项目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江夏区法泗镇</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2857.05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江夏区2018年高标准农田农业综合开发项目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项目区涉及金口街道的三门口村、白马头村、铁锦村等三个村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14300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4153.96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江夏区2018年高标准农田千亿斤粮食生产能力规划田间工程项目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项目区涉及金口街道的铁锦村、白衣庵村、前湖村、枫树村、南阳村、马蹄口村、西湾村、大罾埠村等八个村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30700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9346.05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武汉市江夏区湖泗街海洋片2017年高标准农田农业综合开发建设项目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湖泗街新安村、株山村、祝祠村、熊祠村、海洋村五个村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5945.36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江夏区2016年高标准农田千亿斤粮食生产能力规划田间工程项目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2016</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湖北省武汉市江夏区乌龙泉街道三合村、洪湾村、新建村等三个村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12500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1875.00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武汉市江夏区2017年高标准农田新增千亿斤粮食产能规划田间工程建设项目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湖北省武汉市江夏区湖泗街街道大屋晏村、南山村、何堰村、均堡村、邬桥村等五个村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4004.21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武汉市江夏区湖泗街七海2017年度高标准基本农田土地整治项目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项目区位于湖北省武汉市江夏区，涉及七海村、肖家垅村、郑寅村和山城村四个行政村。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武汉市江夏区2016年高标准农田山坡街“罗畈岭”补建项目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2016</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涉及山坡街光星村、光明村、光华村、和尚桥村、湖岭村、新生村六个村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江夏区2018年高标准农田补建项目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金水         金口街      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区涉及金口街道的长江村、赤矶山村、联合村、南岸一村、南岸三村、南岸二村、西湖村、大罾口村、前进村、红灯村、金水一村、中湾村、青菱村等13个行政村，金水街道的窑沟大队、港尖大队、邓家瓦屋大队、新沟大队、花篮棚大队等5个大队，法泗街道的红星村、长虹村、菱米村、三合村、永丰村、庆丰村等6个行政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6399.97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武汉市江夏区2017年度补建高标准农田建设项目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2017</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道的安山村、茅岭村、普安村、山巷村、胜利村、株山村及上马场村7个行政村；乌龙泉街道的新农村、民主村、新生活村、五星村、四化村、群建村、四一村及幸福村8个行政村；郑店街道的莲花桥村、老屋湖村、段岭庙村、洞山村、青年庵村、涂州村、杨树咀村、金星村8个行政村及薰香悦、顺妞2个基地。</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70105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5608.56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武汉市江夏区郑店街段岭庙基本农田土地整理项目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郑店街道洞山村，崇岭村，段岭庙村，青莲庵村，老屋胡村，莲花桥村、乌龙泉街道四一村等7个村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15540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3734.00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江夏区金水农场等三个镇（场）移民安置土地整理项目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金水        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金水农场港尖村、花篮棚村、法泗镇西港村、金口街大青埠村等4个行政村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2874</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武汉市江夏区107国道沿线高产农田建设示范工程项目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乌龙泉街新生活、新农、四一、五星、民主、群建村，安山镇株山、胜利、八一、青春及株山茶场，郑店街段岭庙、老屋湖、莲花桥村等</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49981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12218.00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武汉市江夏区法泗镇沿河基本农田土地整理项目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法泗镇法泗村、大路村、珠琳村，斧山村，沿河村，联盟村，田浦村等7个村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17853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3628.00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国家投资武汉市江夏区法泗镇新墩基本农田土地整理项目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武汉市江夏区法泗镇</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11487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1365.00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国家投资武汉市江夏区法泗卫东基本农田土地整理项目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法泗镇卫东村、红星村、长虹村、法泗村、菱米村、庆丰村、三合村、永丰村等8个村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25043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2884.00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江夏区山坡元丰低丘岗地改造项目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山坡乡建国村，红星村，元丰村，湖岭村，南庄村，新华村，和尚桥村，光星村和胜丰村等九个村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11369</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2128.28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湖泗镇高碑项目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湖泗镇高碑村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3460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武汉市江夏区山坡街新生及南庄项目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山坡街新生村、南庄村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6080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武汉市江夏区舒安乡徐河藠头基地项目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舒安乡徐河社区</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5253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武汉市江夏区安山街合心项目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2014</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安山街合心村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6102</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武汉市江夏区湖泗街夏祠土地治理项目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湖泗街夏祠村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武汉市江夏区金口街艾岭土地治理项目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金口街艾岭村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2381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武汉市江夏区山坡街山新土地治理项目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山坡街山新村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5221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武汉市江夏区安山街灯塔土地治理项目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安山街灯塔村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6838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武汉市江夏区安山街新窑中低产田改造项目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2016</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安山街新窑村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2974</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武汉市江夏区舒安街祝庙土地治理项目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舒安街祝庙村458.55</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3612</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458.55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47</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武汉市江夏区乌龙泉街下屋朱土地治理项目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乌龙泉街团结村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6268</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2018年度武汉市江夏区金口街金水三村二期耕地提质改造（旱改水）项目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江夏区金口街金水三村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459.45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598.66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49</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2018年度武汉市江夏区金口街金水三村三期耕地提质改造（旱改水）项目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江夏区金口街金水三村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401.7</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399.96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2018年度武汉市江夏区金口街金水三村四期耕地提质改造（旱改水）项目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江夏区金口街金水三村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546.3</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2018年度武汉市江夏区金口街金水三村一期耕地提质改造（旱改水）项目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江夏区金口街金水三村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379.05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699.11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2018年度武汉市江夏区金口街马蹄口村提质改造(旱改水)项目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武汉市江夏区金口街的马蹄口村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596.25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784.26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江夏区五里界美丽乡村建设项目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2014</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五里界街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武汉市江夏区五里界街道童周岭村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武汉市江夏区纸坊街狮子山村耕地提质改造(旱改水)项目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2018</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纸坊街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武汉市江夏区纸坊街的狮子山村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514.81</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1035.07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江夏区2019年度山坡街天子山大道沿线高标准农田建设项目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2019</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江夏区山坡街高峰村、陈六村、和平村等三个村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12800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江夏区2019年度乌龙泉街高标准农田（千亿斤粮食产能田间工程）建设项目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2019</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项目区位于江夏区乌龙泉街道的建设村、金海村、立新村、青山村、团结村、沿湖村、友爱村、长岭村。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57</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江夏区2020年度郑店街高标准农田建设项目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项目区位于江夏区郑店街道的劳四村、金星村。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13500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江夏区2020年度新增千亿斤粮食产能田间工程建设项目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江夏区法泗街道东港村、农科村、大路村、桂山村</w:t>
            </w:r>
            <w:r>
              <w:rPr>
                <w:rFonts w:hint="default" w:ascii="Times New Roman" w:hAnsi="Times New Roman" w:eastAsia="宋体" w:cs="Times New Roman"/>
                <w:i w:val="0"/>
                <w:iCs w:val="0"/>
                <w:color w:val="000000"/>
                <w:kern w:val="0"/>
                <w:sz w:val="24"/>
                <w:szCs w:val="24"/>
                <w:u w:val="none"/>
                <w:lang w:val="en-US" w:eastAsia="zh-CN" w:bidi="ar"/>
              </w:rPr>
              <w:t>4</w:t>
            </w:r>
            <w:r>
              <w:rPr>
                <w:rFonts w:hint="eastAsia" w:ascii="宋体" w:hAnsi="宋体" w:eastAsia="宋体" w:cs="宋体"/>
                <w:i w:val="0"/>
                <w:iCs w:val="0"/>
                <w:color w:val="000000"/>
                <w:kern w:val="0"/>
                <w:sz w:val="24"/>
                <w:szCs w:val="24"/>
                <w:u w:val="none"/>
                <w:lang w:val="en-US" w:eastAsia="zh-CN" w:bidi="ar"/>
              </w:rPr>
              <w:t>个行政村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59</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江夏区2021年度新增千亿斤粮食产能田间工程建设项目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江夏区乌龙泉街道的致富村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江夏区2021年度山坡街联盟村高标准农田建设项目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江夏区山坡街道的联盟村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江夏区2021年度舒安街高标准农田建设项目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江夏区舒安街的田铺村和八秀村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江夏区2021年度山坡街向阳二村高标准农田建设项目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江夏区山坡街向阳二村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江夏区2021年度郑店街高标准农田建设项目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郑店街崇岭村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江夏区2021年度安山街高标准农田建设项目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2021</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江夏区安山街道西北部，鲁湖之滨，南、西、北三面环水，湖泊保护蓝线以外，环湖路以内，东接武汉市园林科学研究所中试基地，涉及余咀村和青春村两个行政村。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江夏区2022年度新增千亿斤粮食产能田间工程（六合片区）建设项目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山坡街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武汉市江夏区山坡街道向阳二村、安山街道上马场村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66</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江夏区2022年度梁子湖风景区管委会高标准农田建设项目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梁子湖</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武汉市江夏区梁子湖风景区管委会保福村和保福祠村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67</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江夏区2022年度山坡街（群力片区）高标准农田建设项目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江夏区山坡街道跃进村和群力村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5200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68</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江夏区2022年度舒安街高标准农田建设项目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武汉市江夏区舒安街张塘村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69</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江夏区2022年度新增千亿斤粮食产能田间工程（乌龙泉片区）建设项目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位于江夏区乌龙泉街的灵山村和勤劳村。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1960.00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江夏区2022年度山坡街（贺站片区）高标准农田建设建设项目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武汉市江夏区山坡街道贺站村和建国村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江夏区2022年度金口街高标准农田建设项目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2022</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金口街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武汉市江夏区金口街三湖村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江夏区2023年度舒安街徐河村高标准农田改造提升建设项目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舒安街徐河村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625.00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江夏区2023年度法泗街珠琳村高标准农田改造提升建设项目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江夏区法泗街珠琳村、沿河村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江夏区2023年度法泗街西港村高标准农田改造提升建设项目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江夏区法泗街西港村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江夏区2023年度五里界街童周岭村高标准农田改造提升建设项目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五里界街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江夏区五里界街童周岭村和群益村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76</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江夏区2023年度舒安街五里墩村高标准农田建设项目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武汉市江夏区舒安街道五里墩村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77</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江夏区2023年度纸坊街林港村高标准农田建设项目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纸坊街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江夏区纸坊街林港村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78</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江夏区2023年度湖泗街张桥村高标准农田建设项目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湖北省武汉市江夏区湖泗街张桥村、官山叶村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79</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江夏区2023年度梁子湖风景区梁湖村高标准农田建设项目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梁子湖</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江夏区梁子湖风景区的梁湖村和远景村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江夏区2023年度山坡街高标准农田建设项目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山坡街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江夏区山坡街的幸福村、周李家社区和五星村。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81</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江夏区2023年度安山街高标准农田建设项目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安山街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武汉市江夏区安山街涉湖村、茶园村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82</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2024年江夏区中央投资高标准农田建设项目（国债）</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法泗街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江夏区法泗街道八塘村、新墩村；山坡街道胜丰村、官南村；舒安街贡如村、分水村。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9500</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2349.50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83</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2024年度江夏区舒安街高标准农田新建和改造提升建设项目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舒安街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武汉市江夏区舒安街道彭塘村、合力村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3145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84</w:t>
            </w:r>
          </w:p>
        </w:tc>
        <w:tc>
          <w:tcPr>
            <w:tcW w:w="42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2024年度江夏区乌龙泉街道高标准农田新建建设项目</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乌龙泉街</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武汉市江夏区乌龙泉街道杨湖村</w:t>
            </w:r>
          </w:p>
        </w:tc>
        <w:tc>
          <w:tcPr>
            <w:tcW w:w="19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1855</w:t>
            </w:r>
          </w:p>
        </w:tc>
        <w:tc>
          <w:tcPr>
            <w:tcW w:w="21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649.25</w:t>
            </w:r>
          </w:p>
        </w:tc>
      </w:tr>
    </w:tbl>
    <w:p>
      <w:pPr>
        <w:rPr>
          <w:rFonts w:hint="eastAsia"/>
        </w:rPr>
        <w:sectPr>
          <w:pgSz w:w="16838" w:h="11906" w:orient="landscape"/>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27" w:name="_Toc1222"/>
      <w:bookmarkStart w:id="28" w:name="_Toc21843"/>
      <w:r>
        <w:rPr>
          <w:rFonts w:hint="eastAsia" w:ascii="黑体" w:hAnsi="黑体" w:eastAsia="黑体" w:cs="黑体"/>
          <w:color w:val="000000"/>
          <w:kern w:val="2"/>
          <w:sz w:val="32"/>
          <w:szCs w:val="32"/>
          <w:lang w:val="en-US" w:eastAsia="zh-CN" w:bidi="ar-SA"/>
        </w:rPr>
        <w:t>三、建设成效</w:t>
      </w:r>
      <w:bookmarkEnd w:id="27"/>
      <w:bookmarkEnd w:id="2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highlight w:val="none"/>
          <w:lang w:val="en-US" w:eastAsia="zh-CN" w:bidi="ar-SA"/>
        </w:rPr>
      </w:pPr>
      <w:bookmarkStart w:id="29" w:name="_Toc4969"/>
      <w:r>
        <w:rPr>
          <w:rFonts w:hint="eastAsia" w:ascii="楷体_GB2312" w:hAnsi="楷体_GB2312" w:eastAsia="楷体_GB2312" w:cs="楷体_GB2312"/>
          <w:color w:val="000000"/>
          <w:kern w:val="2"/>
          <w:sz w:val="32"/>
          <w:szCs w:val="32"/>
          <w:lang w:val="en-US" w:eastAsia="zh-CN" w:bidi="ar-SA"/>
        </w:rPr>
        <w:t>（一</w:t>
      </w:r>
      <w:r>
        <w:rPr>
          <w:rFonts w:hint="eastAsia" w:ascii="楷体_GB2312" w:hAnsi="楷体_GB2312" w:eastAsia="楷体_GB2312" w:cs="楷体_GB2312"/>
          <w:color w:val="000000"/>
          <w:kern w:val="2"/>
          <w:sz w:val="32"/>
          <w:szCs w:val="32"/>
          <w:highlight w:val="none"/>
          <w:lang w:val="en-US" w:eastAsia="zh-CN" w:bidi="ar-SA"/>
        </w:rPr>
        <w:t>）</w:t>
      </w:r>
      <w:bookmarkEnd w:id="29"/>
      <w:r>
        <w:rPr>
          <w:rFonts w:hint="eastAsia" w:ascii="楷体_GB2312" w:hAnsi="楷体_GB2312" w:eastAsia="楷体_GB2312" w:cs="楷体_GB2312"/>
          <w:color w:val="000000"/>
          <w:kern w:val="2"/>
          <w:sz w:val="32"/>
          <w:szCs w:val="32"/>
          <w:highlight w:val="none"/>
          <w:lang w:val="en-US" w:eastAsia="zh-CN" w:bidi="ar-SA"/>
        </w:rPr>
        <w:t>粮食综合生产能力稳步提升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截至2025年底，全区已建成高标准农田建设规模</w:t>
      </w:r>
      <w:r>
        <w:rPr>
          <w:rFonts w:hint="eastAsia" w:eastAsia="仿宋_GB2312" w:cs="Times New Roman"/>
          <w:color w:val="000000"/>
          <w:kern w:val="2"/>
          <w:sz w:val="32"/>
          <w:szCs w:val="32"/>
          <w:highlight w:val="none"/>
          <w:lang w:val="en-US" w:eastAsia="zh-CN" w:bidi="ar-SA"/>
        </w:rPr>
        <w:t>57.81</w:t>
      </w:r>
      <w:r>
        <w:rPr>
          <w:rFonts w:hint="eastAsia" w:ascii="Times New Roman" w:hAnsi="Times New Roman" w:eastAsia="仿宋_GB2312" w:cs="Times New Roman"/>
          <w:color w:val="000000"/>
          <w:kern w:val="2"/>
          <w:sz w:val="32"/>
          <w:szCs w:val="32"/>
          <w:highlight w:val="none"/>
          <w:lang w:val="en-US" w:eastAsia="zh-CN" w:bidi="ar-SA"/>
        </w:rPr>
        <w:t>万亩</w:t>
      </w:r>
      <w:r>
        <w:rPr>
          <w:rFonts w:hint="eastAsia" w:eastAsia="仿宋_GB2312" w:cs="Times New Roman"/>
          <w:color w:val="000000"/>
          <w:kern w:val="2"/>
          <w:sz w:val="32"/>
          <w:szCs w:val="32"/>
          <w:highlight w:val="none"/>
          <w:lang w:val="en-US" w:eastAsia="zh-CN" w:bidi="ar-SA"/>
        </w:rPr>
        <w:t>(不含</w:t>
      </w:r>
      <w:r>
        <w:rPr>
          <w:rFonts w:hint="eastAsia" w:ascii="Times New Roman" w:hAnsi="Times New Roman" w:eastAsia="仿宋_GB2312" w:cs="Times New Roman"/>
          <w:color w:val="000000"/>
          <w:kern w:val="2"/>
          <w:sz w:val="32"/>
          <w:szCs w:val="32"/>
          <w:highlight w:val="none"/>
          <w:lang w:val="en-US" w:eastAsia="zh-CN" w:bidi="ar-SA"/>
        </w:rPr>
        <w:t>改造提升面积），项目区田、水、渠、路、电、林得到综合治理，农田基础设施和农业生产条件明显改善，抵御自然灾害能力和农业综合生产能力明显提高。建成后的高标准农田，亩均粮食产能增加</w:t>
      </w:r>
      <w:r>
        <w:rPr>
          <w:rFonts w:hint="eastAsia" w:eastAsia="仿宋_GB2312" w:cs="Times New Roman"/>
          <w:color w:val="000000"/>
          <w:kern w:val="2"/>
          <w:sz w:val="32"/>
          <w:szCs w:val="32"/>
          <w:highlight w:val="none"/>
          <w:lang w:val="en-US" w:eastAsia="zh-CN" w:bidi="ar-SA"/>
        </w:rPr>
        <w:t>5</w:t>
      </w:r>
      <w:r>
        <w:rPr>
          <w:rFonts w:hint="eastAsia" w:ascii="Times New Roman" w:hAnsi="Times New Roman" w:eastAsia="仿宋_GB2312" w:cs="Times New Roman"/>
          <w:color w:val="000000"/>
          <w:kern w:val="2"/>
          <w:sz w:val="32"/>
          <w:szCs w:val="32"/>
          <w:highlight w:val="none"/>
          <w:lang w:val="en-US" w:eastAsia="zh-CN" w:bidi="ar-SA"/>
        </w:rPr>
        <w:t>%-1</w:t>
      </w:r>
      <w:r>
        <w:rPr>
          <w:rFonts w:hint="eastAsia" w:eastAsia="仿宋_GB2312" w:cs="Times New Roman"/>
          <w:color w:val="000000"/>
          <w:kern w:val="2"/>
          <w:sz w:val="32"/>
          <w:szCs w:val="32"/>
          <w:highlight w:val="none"/>
          <w:lang w:val="en-US" w:eastAsia="zh-CN" w:bidi="ar-SA"/>
        </w:rPr>
        <w:t>0</w:t>
      </w:r>
      <w:r>
        <w:rPr>
          <w:rFonts w:hint="eastAsia"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highlight w:val="none"/>
          <w:lang w:val="en-US" w:eastAsia="zh-CN" w:bidi="ar-SA"/>
        </w:rPr>
      </w:pPr>
      <w:bookmarkStart w:id="30" w:name="_Toc27602"/>
      <w:r>
        <w:rPr>
          <w:rFonts w:hint="eastAsia" w:ascii="楷体_GB2312" w:hAnsi="楷体_GB2312" w:eastAsia="楷体_GB2312" w:cs="楷体_GB2312"/>
          <w:color w:val="000000"/>
          <w:kern w:val="2"/>
          <w:sz w:val="32"/>
          <w:szCs w:val="32"/>
          <w:highlight w:val="none"/>
          <w:lang w:val="en-US" w:eastAsia="zh-CN" w:bidi="ar-SA"/>
        </w:rPr>
        <w:t>（二）</w:t>
      </w:r>
      <w:bookmarkEnd w:id="30"/>
      <w:r>
        <w:rPr>
          <w:rFonts w:hint="eastAsia" w:ascii="楷体_GB2312" w:hAnsi="楷体_GB2312" w:eastAsia="楷体_GB2312" w:cs="楷体_GB2312"/>
          <w:color w:val="000000"/>
          <w:kern w:val="2"/>
          <w:sz w:val="32"/>
          <w:szCs w:val="32"/>
          <w:highlight w:val="none"/>
          <w:lang w:val="en-US" w:eastAsia="zh-CN" w:bidi="ar-SA"/>
        </w:rPr>
        <w:t>现代农业发展支撑更加坚实</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通过实施高标准农田建设，道路、沟渠等农业生产条件得到极大的改善，为发展现代农业奠定了基础。农村集体经济组织和农户充分利用建设后农地的良好种植条件，因地制宜开展土地流转、稳步推进适度集中规模经营、大力发展现代农业。同时江夏区农业机械装备总量稳步增长，农业机械化水平明显提高；农机服务产业化进程明显加快，农机大户、农机合作社等农机服务组织不断发展，农机安全监管能力明显增强。</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highlight w:val="none"/>
          <w:lang w:val="en-US" w:eastAsia="zh-CN" w:bidi="ar-SA"/>
        </w:rPr>
      </w:pPr>
      <w:bookmarkStart w:id="31" w:name="_Toc20489"/>
      <w:r>
        <w:rPr>
          <w:rFonts w:hint="eastAsia" w:ascii="楷体_GB2312" w:hAnsi="楷体_GB2312" w:eastAsia="楷体_GB2312" w:cs="楷体_GB2312"/>
          <w:color w:val="000000"/>
          <w:kern w:val="2"/>
          <w:sz w:val="32"/>
          <w:szCs w:val="32"/>
          <w:highlight w:val="none"/>
          <w:lang w:val="en-US" w:eastAsia="zh-CN" w:bidi="ar-SA"/>
        </w:rPr>
        <w:t>（三）</w:t>
      </w:r>
      <w:bookmarkEnd w:id="31"/>
      <w:r>
        <w:rPr>
          <w:rFonts w:hint="eastAsia" w:ascii="楷体_GB2312" w:hAnsi="楷体_GB2312" w:eastAsia="楷体_GB2312" w:cs="楷体_GB2312"/>
          <w:color w:val="000000"/>
          <w:kern w:val="2"/>
          <w:sz w:val="32"/>
          <w:szCs w:val="32"/>
          <w:highlight w:val="none"/>
          <w:lang w:val="en-US" w:eastAsia="zh-CN" w:bidi="ar-SA"/>
        </w:rPr>
        <w:t>农田生态环境持续优化改善</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依托高标准农田建设，全面实施田块规整、沟渠配套、</w:t>
      </w:r>
      <w:r>
        <w:rPr>
          <w:rFonts w:hint="eastAsia" w:ascii="Times New Roman" w:hAnsi="Times New Roman" w:eastAsia="仿宋_GB2312" w:cs="Times New Roman"/>
          <w:color w:val="000000"/>
          <w:kern w:val="2"/>
          <w:sz w:val="32"/>
          <w:szCs w:val="32"/>
          <w:lang w:val="en-US" w:eastAsia="zh-CN" w:bidi="ar-SA"/>
        </w:rPr>
        <w:t>节水灌溉、林网建设、推广绿色农田建设等措施，建成了田成方、林成网、路相通、渠相连、涝能排、机能行的高标准农田，优化了农田生态格局，增强了农田生态防护能力，减少了农田水土流失，提高了农业生产投入品利用率，降低了农业面源污染，保护了农田生态环境。建成后的高标准农田，农业绿色发展水平显著提高，节水、节肥、节</w:t>
      </w:r>
      <w:r>
        <w:rPr>
          <w:rFonts w:hint="eastAsia" w:ascii="Times New Roman" w:hAnsi="Times New Roman" w:eastAsia="仿宋_GB2312" w:cs="Times New Roman"/>
          <w:color w:val="000000"/>
          <w:kern w:val="2"/>
          <w:sz w:val="32"/>
          <w:szCs w:val="32"/>
          <w:highlight w:val="none"/>
          <w:lang w:val="en-US" w:eastAsia="zh-CN" w:bidi="ar-SA"/>
        </w:rPr>
        <w:t>药、节力效果明显，促进了山水林田湖草沙整体保护和农村环境连片整治，为实现生态宜居打下了坚实基础。</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highlight w:val="none"/>
          <w:lang w:val="en-US" w:eastAsia="zh-CN" w:bidi="ar-SA"/>
        </w:rPr>
      </w:pPr>
      <w:bookmarkStart w:id="32" w:name="_Toc10947"/>
      <w:r>
        <w:rPr>
          <w:rFonts w:hint="eastAsia" w:ascii="楷体_GB2312" w:hAnsi="楷体_GB2312" w:eastAsia="楷体_GB2312" w:cs="楷体_GB2312"/>
          <w:color w:val="000000"/>
          <w:kern w:val="2"/>
          <w:sz w:val="32"/>
          <w:szCs w:val="32"/>
          <w:highlight w:val="none"/>
          <w:lang w:val="en-US" w:eastAsia="zh-CN" w:bidi="ar-SA"/>
        </w:rPr>
        <w:t>（四）</w:t>
      </w:r>
      <w:bookmarkEnd w:id="32"/>
      <w:r>
        <w:rPr>
          <w:rFonts w:hint="eastAsia" w:ascii="楷体_GB2312" w:hAnsi="楷体_GB2312" w:eastAsia="楷体_GB2312" w:cs="楷体_GB2312"/>
          <w:color w:val="000000"/>
          <w:kern w:val="2"/>
          <w:sz w:val="32"/>
          <w:szCs w:val="32"/>
          <w:highlight w:val="none"/>
          <w:lang w:val="en-US" w:eastAsia="zh-CN" w:bidi="ar-SA"/>
        </w:rPr>
        <w:t>农民增收致富渠道有效拓宽</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高标准农田建设通过完善农田基础设施、提升耕地质量、改善农业生产条件，降低了农业生产成本，提高了产出效率，增加了土地流转收入，显著提高了农业生产综合效益，有效增加了农民生产经营性收入，切实激活农村农业发展内生动力，为扎实推进乡村振兴、夯实农村共同富裕基础提供了坚实保障。</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highlight w:val="none"/>
          <w:lang w:val="en-US" w:eastAsia="zh-CN" w:bidi="ar-SA"/>
        </w:rPr>
      </w:pPr>
      <w:bookmarkStart w:id="33" w:name="_Toc23140"/>
      <w:bookmarkStart w:id="34" w:name="_Toc21861"/>
      <w:r>
        <w:rPr>
          <w:rFonts w:hint="eastAsia" w:ascii="黑体" w:hAnsi="黑体" w:eastAsia="黑体" w:cs="黑体"/>
          <w:color w:val="000000"/>
          <w:kern w:val="2"/>
          <w:sz w:val="32"/>
          <w:szCs w:val="32"/>
          <w:highlight w:val="none"/>
          <w:lang w:val="en-US" w:eastAsia="zh-CN" w:bidi="ar-SA"/>
        </w:rPr>
        <w:t>四、主要问题</w:t>
      </w:r>
      <w:bookmarkEnd w:id="33"/>
      <w:bookmarkEnd w:id="34"/>
    </w:p>
    <w:p>
      <w:pPr>
        <w:keepNext w:val="0"/>
        <w:keepLines w:val="0"/>
        <w:pageBreakBefore w:val="0"/>
        <w:widowControl w:val="0"/>
        <w:kinsoku/>
        <w:wordWrap/>
        <w:overflowPunct/>
        <w:topLinePunct w:val="0"/>
        <w:autoSpaceDE/>
        <w:autoSpaceDN/>
        <w:bidi w:val="0"/>
        <w:adjustRightInd/>
        <w:snapToGrid/>
        <w:spacing w:before="0" w:after="0" w:line="560" w:lineRule="exact"/>
        <w:ind w:left="0" w:firstLine="640" w:firstLineChars="200"/>
        <w:textAlignment w:val="auto"/>
        <w:rPr>
          <w:rFonts w:hint="eastAsia" w:ascii="楷体_GB2312" w:hAnsi="楷体_GB2312" w:eastAsia="楷体_GB2312" w:cs="楷体_GB2312"/>
          <w:color w:val="auto"/>
          <w:kern w:val="2"/>
          <w:sz w:val="32"/>
          <w:szCs w:val="32"/>
          <w:highlight w:val="none"/>
          <w:lang w:val="en-US" w:eastAsia="zh-CN" w:bidi="ar-SA"/>
        </w:rPr>
      </w:pPr>
      <w:bookmarkStart w:id="35" w:name="_Toc7672"/>
      <w:r>
        <w:rPr>
          <w:rFonts w:hint="eastAsia" w:ascii="楷体_GB2312" w:hAnsi="楷体_GB2312" w:eastAsia="楷体_GB2312" w:cs="楷体_GB2312"/>
          <w:color w:val="auto"/>
          <w:kern w:val="2"/>
          <w:sz w:val="32"/>
          <w:szCs w:val="32"/>
          <w:highlight w:val="none"/>
          <w:lang w:val="en-US" w:eastAsia="zh-CN" w:bidi="ar-SA"/>
        </w:rPr>
        <w:t>（一）</w:t>
      </w:r>
      <w:bookmarkEnd w:id="35"/>
      <w:r>
        <w:rPr>
          <w:rFonts w:hint="eastAsia" w:ascii="楷体_GB2312" w:hAnsi="楷体_GB2312" w:eastAsia="楷体_GB2312" w:cs="楷体_GB2312"/>
          <w:color w:val="auto"/>
          <w:kern w:val="2"/>
          <w:sz w:val="32"/>
          <w:szCs w:val="32"/>
          <w:highlight w:val="none"/>
          <w:lang w:val="en-US" w:eastAsia="zh-CN" w:bidi="ar-SA"/>
        </w:rPr>
        <w:t>优质地块资源枯竭，项目选址难度加大</w:t>
      </w:r>
    </w:p>
    <w:p>
      <w:pPr>
        <w:keepNext w:val="0"/>
        <w:keepLines w:val="0"/>
        <w:pageBreakBefore w:val="0"/>
        <w:widowControl w:val="0"/>
        <w:kinsoku/>
        <w:wordWrap/>
        <w:overflowPunct/>
        <w:topLinePunct w:val="0"/>
        <w:autoSpaceDE/>
        <w:autoSpaceDN/>
        <w:bidi w:val="0"/>
        <w:adjustRightInd/>
        <w:snapToGrid/>
        <w:spacing w:before="0" w:after="0" w:line="560" w:lineRule="exact"/>
        <w:ind w:left="0"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截</w:t>
      </w:r>
      <w:r>
        <w:rPr>
          <w:rFonts w:hint="eastAsia" w:eastAsia="仿宋_GB2312" w:cs="Times New Roman"/>
          <w:color w:val="auto"/>
          <w:kern w:val="2"/>
          <w:sz w:val="32"/>
          <w:szCs w:val="32"/>
          <w:highlight w:val="none"/>
          <w:lang w:val="en-US" w:eastAsia="zh-CN" w:bidi="ar-SA"/>
        </w:rPr>
        <w:t>至</w:t>
      </w:r>
      <w:r>
        <w:rPr>
          <w:rFonts w:hint="eastAsia"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eastAsia" w:ascii="Times New Roman" w:hAnsi="Times New Roman" w:eastAsia="仿宋_GB2312" w:cs="Times New Roman"/>
          <w:color w:val="auto"/>
          <w:kern w:val="2"/>
          <w:sz w:val="32"/>
          <w:szCs w:val="32"/>
          <w:highlight w:val="none"/>
          <w:lang w:val="en-US" w:eastAsia="zh-CN" w:bidi="ar-SA"/>
        </w:rPr>
        <w:t>年，全区</w:t>
      </w:r>
      <w:r>
        <w:rPr>
          <w:rFonts w:hint="eastAsia" w:eastAsia="仿宋_GB2312" w:cs="Times New Roman"/>
          <w:color w:val="auto"/>
          <w:kern w:val="2"/>
          <w:sz w:val="32"/>
          <w:szCs w:val="32"/>
          <w:highlight w:val="none"/>
          <w:lang w:val="en-US" w:eastAsia="zh-CN" w:bidi="ar-SA"/>
        </w:rPr>
        <w:t>57.81万亩永久基本农田</w:t>
      </w:r>
      <w:r>
        <w:rPr>
          <w:rFonts w:hint="eastAsia" w:ascii="Times New Roman" w:hAnsi="Times New Roman" w:eastAsia="仿宋_GB2312" w:cs="Times New Roman"/>
          <w:color w:val="auto"/>
          <w:kern w:val="2"/>
          <w:sz w:val="32"/>
          <w:szCs w:val="32"/>
          <w:highlight w:val="none"/>
          <w:lang w:val="en-US" w:eastAsia="zh-CN" w:bidi="ar-SA"/>
        </w:rPr>
        <w:t>上</w:t>
      </w:r>
      <w:r>
        <w:rPr>
          <w:rFonts w:hint="eastAsia" w:eastAsia="仿宋_GB2312" w:cs="Times New Roman"/>
          <w:color w:val="auto"/>
          <w:kern w:val="2"/>
          <w:sz w:val="32"/>
          <w:szCs w:val="32"/>
          <w:highlight w:val="none"/>
          <w:lang w:val="en-US" w:eastAsia="zh-CN" w:bidi="ar-SA"/>
        </w:rPr>
        <w:t>，</w:t>
      </w:r>
      <w:r>
        <w:rPr>
          <w:rFonts w:hint="eastAsia" w:ascii="Times New Roman" w:hAnsi="Times New Roman" w:eastAsia="仿宋_GB2312" w:cs="Times New Roman"/>
          <w:color w:val="auto"/>
          <w:kern w:val="2"/>
          <w:sz w:val="32"/>
          <w:szCs w:val="32"/>
          <w:highlight w:val="none"/>
          <w:lang w:val="en-US" w:eastAsia="zh-CN" w:bidi="ar-SA"/>
        </w:rPr>
        <w:t>高标准农田覆盖率达</w:t>
      </w:r>
      <w:r>
        <w:rPr>
          <w:rFonts w:hint="eastAsia" w:eastAsia="仿宋_GB2312" w:cs="Times New Roman"/>
          <w:color w:val="auto"/>
          <w:kern w:val="2"/>
          <w:sz w:val="32"/>
          <w:szCs w:val="32"/>
          <w:highlight w:val="none"/>
          <w:lang w:val="en-US" w:eastAsia="zh-CN" w:bidi="ar-SA"/>
        </w:rPr>
        <w:t>64.77</w:t>
      </w:r>
      <w:r>
        <w:rPr>
          <w:rFonts w:hint="eastAsia" w:ascii="Times New Roman" w:hAnsi="Times New Roman" w:eastAsia="仿宋_GB2312" w:cs="Times New Roman"/>
          <w:color w:val="auto"/>
          <w:kern w:val="2"/>
          <w:sz w:val="32"/>
          <w:szCs w:val="32"/>
          <w:highlight w:val="none"/>
          <w:lang w:val="en-US" w:eastAsia="zh-CN" w:bidi="ar-SA"/>
        </w:rPr>
        <w:t>%，经过多年的建设，基础条件好、容易建设的耕地地块已实施了高标准农田项目，剩下未建耕地普遍存在基础设施薄弱、耕地质量不高、边缘化、碎片化等问题，连片开发、统一建设的难度增大。</w:t>
      </w:r>
    </w:p>
    <w:p>
      <w:pPr>
        <w:keepNext w:val="0"/>
        <w:keepLines w:val="0"/>
        <w:pageBreakBefore w:val="0"/>
        <w:widowControl w:val="0"/>
        <w:kinsoku/>
        <w:wordWrap/>
        <w:overflowPunct/>
        <w:topLinePunct w:val="0"/>
        <w:autoSpaceDE/>
        <w:autoSpaceDN/>
        <w:bidi w:val="0"/>
        <w:adjustRightInd/>
        <w:snapToGrid/>
        <w:spacing w:before="0" w:after="0" w:line="560" w:lineRule="exact"/>
        <w:ind w:left="0" w:firstLine="640" w:firstLineChars="200"/>
        <w:textAlignment w:val="auto"/>
        <w:rPr>
          <w:rFonts w:hint="default" w:ascii="楷体_GB2312" w:hAnsi="楷体_GB2312" w:eastAsia="楷体_GB2312" w:cs="楷体_GB2312"/>
          <w:color w:val="auto"/>
          <w:kern w:val="2"/>
          <w:sz w:val="32"/>
          <w:szCs w:val="32"/>
          <w:highlight w:val="none"/>
          <w:lang w:val="en-US" w:eastAsia="zh-CN" w:bidi="ar-SA"/>
        </w:rPr>
      </w:pPr>
      <w:r>
        <w:rPr>
          <w:rFonts w:hint="eastAsia" w:ascii="楷体_GB2312" w:hAnsi="楷体_GB2312" w:eastAsia="楷体_GB2312" w:cs="楷体_GB2312"/>
          <w:color w:val="auto"/>
          <w:kern w:val="2"/>
          <w:sz w:val="32"/>
          <w:szCs w:val="32"/>
          <w:highlight w:val="none"/>
          <w:lang w:val="en-US" w:eastAsia="zh-CN" w:bidi="ar-SA"/>
        </w:rPr>
        <w:t>（二）前期设计深度不足，贴合实际程度不高</w:t>
      </w:r>
    </w:p>
    <w:p>
      <w:pPr>
        <w:keepNext w:val="0"/>
        <w:keepLines w:val="0"/>
        <w:pageBreakBefore w:val="0"/>
        <w:widowControl w:val="0"/>
        <w:kinsoku/>
        <w:wordWrap/>
        <w:overflowPunct/>
        <w:topLinePunct w:val="0"/>
        <w:autoSpaceDE/>
        <w:autoSpaceDN/>
        <w:bidi w:val="0"/>
        <w:adjustRightInd/>
        <w:snapToGrid/>
        <w:spacing w:before="0" w:after="0" w:line="560" w:lineRule="exact"/>
        <w:ind w:left="0" w:firstLine="640" w:firstLineChars="200"/>
        <w:textAlignment w:val="auto"/>
        <w:rPr>
          <w:rFonts w:hint="eastAsia" w:ascii="Times New Roman" w:hAnsi="Times New Roman" w:eastAsia="仿宋_GB2312" w:cs="Times New Roman"/>
          <w:color w:val="auto"/>
          <w:kern w:val="2"/>
          <w:sz w:val="32"/>
          <w:szCs w:val="32"/>
          <w:highlight w:val="none"/>
          <w:lang w:val="en-US" w:eastAsia="zh-CN" w:bidi="ar-SA"/>
        </w:rPr>
      </w:pPr>
      <w:bookmarkStart w:id="36" w:name="_Toc19128"/>
      <w:r>
        <w:rPr>
          <w:rFonts w:hint="eastAsia" w:eastAsia="仿宋_GB2312" w:cs="Times New Roman"/>
          <w:color w:val="auto"/>
          <w:kern w:val="2"/>
          <w:sz w:val="32"/>
          <w:szCs w:val="32"/>
          <w:highlight w:val="none"/>
          <w:lang w:val="en-US" w:eastAsia="zh-CN" w:bidi="ar-SA"/>
        </w:rPr>
        <w:t>前期</w:t>
      </w:r>
      <w:r>
        <w:rPr>
          <w:rFonts w:hint="eastAsia" w:ascii="Times New Roman" w:hAnsi="Times New Roman" w:eastAsia="仿宋_GB2312" w:cs="Times New Roman"/>
          <w:color w:val="auto"/>
          <w:kern w:val="2"/>
          <w:sz w:val="32"/>
          <w:szCs w:val="32"/>
          <w:highlight w:val="none"/>
          <w:lang w:val="en-US" w:eastAsia="zh-CN" w:bidi="ar-SA"/>
        </w:rPr>
        <w:t>部分项目设计阶段</w:t>
      </w:r>
      <w:r>
        <w:rPr>
          <w:rFonts w:hint="eastAsia" w:eastAsia="仿宋_GB2312" w:cs="Times New Roman"/>
          <w:color w:val="auto"/>
          <w:kern w:val="2"/>
          <w:sz w:val="32"/>
          <w:szCs w:val="32"/>
          <w:highlight w:val="none"/>
          <w:lang w:val="en-US" w:eastAsia="zh-CN" w:bidi="ar-SA"/>
        </w:rPr>
        <w:t>缺少</w:t>
      </w:r>
      <w:r>
        <w:rPr>
          <w:rFonts w:hint="eastAsia" w:ascii="Times New Roman" w:hAnsi="Times New Roman" w:eastAsia="仿宋_GB2312" w:cs="Times New Roman"/>
          <w:color w:val="auto"/>
          <w:kern w:val="2"/>
          <w:sz w:val="32"/>
          <w:szCs w:val="32"/>
          <w:highlight w:val="none"/>
          <w:lang w:val="en-US" w:eastAsia="zh-CN" w:bidi="ar-SA"/>
        </w:rPr>
        <w:t>群众参与，多由第三方</w:t>
      </w:r>
      <w:r>
        <w:rPr>
          <w:rFonts w:hint="eastAsia" w:eastAsia="仿宋_GB2312" w:cs="Times New Roman"/>
          <w:color w:val="auto"/>
          <w:kern w:val="2"/>
          <w:sz w:val="32"/>
          <w:szCs w:val="32"/>
          <w:highlight w:val="none"/>
          <w:lang w:val="en-US" w:eastAsia="zh-CN" w:bidi="ar-SA"/>
        </w:rPr>
        <w:t>设计单位组织</w:t>
      </w:r>
      <w:r>
        <w:rPr>
          <w:rFonts w:hint="eastAsia" w:ascii="Times New Roman" w:hAnsi="Times New Roman" w:eastAsia="仿宋_GB2312" w:cs="Times New Roman"/>
          <w:color w:val="auto"/>
          <w:kern w:val="2"/>
          <w:sz w:val="32"/>
          <w:szCs w:val="32"/>
          <w:highlight w:val="none"/>
          <w:lang w:val="en-US" w:eastAsia="zh-CN" w:bidi="ar-SA"/>
        </w:rPr>
        <w:t>完成，</w:t>
      </w:r>
      <w:r>
        <w:rPr>
          <w:rFonts w:hint="eastAsia" w:eastAsia="仿宋_GB2312" w:cs="Times New Roman"/>
          <w:color w:val="auto"/>
          <w:kern w:val="2"/>
          <w:sz w:val="32"/>
          <w:szCs w:val="32"/>
          <w:highlight w:val="none"/>
          <w:lang w:val="en-US" w:eastAsia="zh-CN" w:bidi="ar-SA"/>
        </w:rPr>
        <w:t>在实地踏勘中</w:t>
      </w:r>
      <w:r>
        <w:rPr>
          <w:rFonts w:hint="eastAsia" w:ascii="Times New Roman" w:hAnsi="Times New Roman" w:eastAsia="仿宋_GB2312" w:cs="Times New Roman"/>
          <w:color w:val="auto"/>
          <w:kern w:val="2"/>
          <w:sz w:val="32"/>
          <w:szCs w:val="32"/>
          <w:highlight w:val="none"/>
          <w:lang w:val="en-US" w:eastAsia="zh-CN" w:bidi="ar-SA"/>
        </w:rPr>
        <w:t>未充分征求村组集体、种粮大户与普通农户的生产实际需求</w:t>
      </w:r>
      <w:r>
        <w:rPr>
          <w:rFonts w:hint="eastAsia" w:eastAsia="仿宋_GB2312" w:cs="Times New Roman"/>
          <w:color w:val="auto"/>
          <w:kern w:val="2"/>
          <w:sz w:val="32"/>
          <w:szCs w:val="32"/>
          <w:highlight w:val="none"/>
          <w:lang w:val="en-US" w:eastAsia="zh-CN" w:bidi="ar-SA"/>
        </w:rPr>
        <w:t>，同时</w:t>
      </w:r>
      <w:r>
        <w:rPr>
          <w:rFonts w:hint="eastAsia" w:ascii="Times New Roman" w:hAnsi="Times New Roman" w:eastAsia="仿宋_GB2312" w:cs="Times New Roman"/>
          <w:color w:val="auto"/>
          <w:kern w:val="2"/>
          <w:sz w:val="32"/>
          <w:szCs w:val="32"/>
          <w:highlight w:val="none"/>
          <w:lang w:val="en-US" w:eastAsia="zh-CN" w:bidi="ar-SA"/>
        </w:rPr>
        <w:t>前期勘察论证深度不足，未开展全覆盖实地测绘与水文地质勘查，仅凭卫星影像和基础资料完成设计，导致</w:t>
      </w:r>
      <w:r>
        <w:rPr>
          <w:rFonts w:hint="eastAsia" w:eastAsia="仿宋_GB2312" w:cs="Times New Roman"/>
          <w:color w:val="auto"/>
          <w:kern w:val="2"/>
          <w:sz w:val="32"/>
          <w:szCs w:val="32"/>
          <w:highlight w:val="none"/>
          <w:lang w:val="en-US" w:eastAsia="zh-CN" w:bidi="ar-SA"/>
        </w:rPr>
        <w:t>工程建设成果与群众种植需求存在错位。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楷体_GB2312" w:hAnsi="楷体_GB2312" w:eastAsia="楷体_GB2312" w:cs="楷体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2"/>
          <w:sz w:val="32"/>
          <w:szCs w:val="32"/>
          <w:lang w:val="en-US" w:eastAsia="zh-CN" w:bidi="ar-SA"/>
        </w:rPr>
        <w:t>（三）</w:t>
      </w:r>
      <w:r>
        <w:rPr>
          <w:rFonts w:hint="eastAsia" w:ascii="楷体_GB2312" w:hAnsi="楷体_GB2312" w:eastAsia="楷体_GB2312" w:cs="楷体_GB2312"/>
          <w:b w:val="0"/>
          <w:bCs w:val="0"/>
          <w:color w:val="auto"/>
          <w:kern w:val="2"/>
          <w:sz w:val="32"/>
          <w:szCs w:val="32"/>
          <w:highlight w:val="none"/>
          <w:lang w:val="en-US" w:eastAsia="zh-CN" w:bidi="ar-SA"/>
        </w:rPr>
        <w:t>早期建设标准偏低，提升改造任务繁重</w:t>
      </w:r>
    </w:p>
    <w:bookmarkEnd w:id="36"/>
    <w:p>
      <w:pPr>
        <w:keepNext w:val="0"/>
        <w:keepLines w:val="0"/>
        <w:pageBreakBefore w:val="0"/>
        <w:widowControl w:val="0"/>
        <w:kinsoku/>
        <w:wordWrap/>
        <w:overflowPunct/>
        <w:topLinePunct w:val="0"/>
        <w:autoSpaceDE/>
        <w:autoSpaceDN/>
        <w:bidi w:val="0"/>
        <w:adjustRightInd/>
        <w:snapToGrid/>
        <w:spacing w:before="0" w:after="0" w:line="560" w:lineRule="exact"/>
        <w:ind w:left="0"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经省农业农村厅认定，我区2019年以前建成的高标准农田相关项目，分属原自然资源、农业农村、财政、发改等多部门实施，涵盖土地整治、土地整理、旱改水、千亿斤粮食产能工程等类型。此类项目亩均投入仅1500元左右，远低于当前高标准农田每亩不低于3500元的建设基准；且各项目建设内容、工程实施标准未能统一规范。伴随农业生产向机械化、规模化持续推进，早期建成片区设施配套不足、标准偏低的短板日益凸显，后续改造提升工作量持续加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楷体_GB2312" w:hAnsi="楷体_GB2312" w:eastAsia="楷体_GB2312" w:cs="楷体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2"/>
          <w:sz w:val="32"/>
          <w:szCs w:val="32"/>
          <w:lang w:val="en-US" w:eastAsia="zh-CN" w:bidi="ar-SA"/>
        </w:rPr>
        <w:t>（四</w:t>
      </w:r>
      <w:r>
        <w:rPr>
          <w:rFonts w:hint="eastAsia" w:ascii="楷体_GB2312" w:hAnsi="楷体_GB2312" w:eastAsia="楷体_GB2312" w:cs="楷体_GB2312"/>
          <w:b w:val="0"/>
          <w:bCs w:val="0"/>
          <w:color w:val="auto"/>
          <w:kern w:val="2"/>
          <w:sz w:val="32"/>
          <w:szCs w:val="32"/>
          <w:highlight w:val="none"/>
          <w:lang w:val="en-US" w:eastAsia="zh-CN" w:bidi="ar-SA"/>
        </w:rPr>
        <w:t>）建后管护机制不完善，长效运维能力薄弱</w:t>
      </w:r>
    </w:p>
    <w:p>
      <w:pPr>
        <w:keepNext w:val="0"/>
        <w:keepLines w:val="0"/>
        <w:pageBreakBefore w:val="0"/>
        <w:widowControl w:val="0"/>
        <w:kinsoku/>
        <w:wordWrap/>
        <w:overflowPunct/>
        <w:topLinePunct w:val="0"/>
        <w:autoSpaceDE/>
        <w:autoSpaceDN/>
        <w:bidi w:val="0"/>
        <w:adjustRightInd/>
        <w:snapToGrid/>
        <w:spacing w:before="0" w:after="0" w:line="560" w:lineRule="exact"/>
        <w:ind w:left="0"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eastAsia="仿宋_GB2312" w:cs="Times New Roman"/>
          <w:color w:val="auto"/>
          <w:kern w:val="2"/>
          <w:sz w:val="32"/>
          <w:szCs w:val="32"/>
          <w:lang w:val="en-US" w:eastAsia="zh-CN" w:bidi="ar-SA"/>
        </w:rPr>
        <w:t>高标准农田</w:t>
      </w:r>
      <w:r>
        <w:rPr>
          <w:rFonts w:hint="eastAsia" w:ascii="Times New Roman" w:hAnsi="Times New Roman" w:eastAsia="仿宋_GB2312" w:cs="Times New Roman"/>
          <w:color w:val="auto"/>
          <w:kern w:val="2"/>
          <w:sz w:val="32"/>
          <w:szCs w:val="32"/>
          <w:lang w:val="en-US" w:eastAsia="zh-CN" w:bidi="ar-SA"/>
        </w:rPr>
        <w:t>管护资金缺乏稳定保障渠道，运维投入缺口大。未建立常态化管护经费保障机制，仅靠少量村级集体经济收入或临时申请财政应急资金，难以覆盖渠道清淤、道路修补、机电设备维修更换等日常运维成本。部分高标准农田存在“非粮化”“撂荒”现象，设施长期闲置缺乏日常维护，自然老化损毁速度加快；另一方面，农户不规范生产行为加剧设施损坏，如重型车辆违规碾压机耕道、向渠道丢弃杂物、私自改动灌排设施结构等，且追责难度大。</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37" w:name="_Toc20613"/>
      <w:bookmarkStart w:id="38" w:name="_Toc24327"/>
      <w:r>
        <w:rPr>
          <w:rFonts w:hint="eastAsia" w:ascii="黑体" w:hAnsi="黑体" w:eastAsia="黑体" w:cs="黑体"/>
          <w:color w:val="000000"/>
          <w:kern w:val="2"/>
          <w:sz w:val="32"/>
          <w:szCs w:val="32"/>
          <w:lang w:val="en-US" w:eastAsia="zh-CN" w:bidi="ar-SA"/>
        </w:rPr>
        <w:t>五、有利条件</w:t>
      </w:r>
      <w:bookmarkEnd w:id="37"/>
      <w:bookmarkEnd w:id="3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highlight w:val="none"/>
          <w:lang w:val="en-US" w:eastAsia="zh-CN" w:bidi="ar-SA"/>
        </w:rPr>
      </w:pPr>
      <w:bookmarkStart w:id="39" w:name="_Toc1830"/>
      <w:r>
        <w:rPr>
          <w:rFonts w:hint="eastAsia" w:ascii="楷体_GB2312" w:hAnsi="楷体_GB2312" w:eastAsia="楷体_GB2312" w:cs="楷体_GB2312"/>
          <w:color w:val="000000"/>
          <w:kern w:val="2"/>
          <w:sz w:val="32"/>
          <w:szCs w:val="32"/>
          <w:highlight w:val="none"/>
          <w:lang w:val="en-US" w:eastAsia="zh-CN" w:bidi="ar-SA"/>
        </w:rPr>
        <w:t>（一）</w:t>
      </w:r>
      <w:bookmarkEnd w:id="39"/>
      <w:r>
        <w:rPr>
          <w:rFonts w:hint="eastAsia" w:ascii="楷体_GB2312" w:hAnsi="楷体_GB2312" w:eastAsia="楷体_GB2312" w:cs="楷体_GB2312"/>
          <w:color w:val="000000"/>
          <w:kern w:val="2"/>
          <w:sz w:val="32"/>
          <w:szCs w:val="32"/>
          <w:highlight w:val="none"/>
          <w:lang w:val="en-US" w:eastAsia="zh-CN" w:bidi="ar-SA"/>
        </w:rPr>
        <w:t>国家战略高位引领，政策导向持续利好</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高标准农田建设已成为国家层面的战略部署，这为高标准农田建设的继续推进提供了良好的外部环境。多年来中央</w:t>
      </w:r>
      <w:r>
        <w:rPr>
          <w:rFonts w:hint="eastAsia" w:eastAsia="仿宋_GB2312" w:cs="Times New Roman"/>
          <w:color w:val="000000"/>
          <w:kern w:val="2"/>
          <w:sz w:val="32"/>
          <w:szCs w:val="32"/>
          <w:lang w:val="en-US" w:eastAsia="zh-CN" w:bidi="ar-SA"/>
        </w:rPr>
        <w:t>一</w:t>
      </w:r>
      <w:r>
        <w:rPr>
          <w:rFonts w:hint="eastAsia" w:ascii="Times New Roman" w:hAnsi="Times New Roman" w:eastAsia="仿宋_GB2312" w:cs="Times New Roman"/>
          <w:color w:val="000000"/>
          <w:kern w:val="2"/>
          <w:sz w:val="32"/>
          <w:szCs w:val="32"/>
          <w:lang w:val="en-US" w:eastAsia="zh-CN" w:bidi="ar-SA"/>
        </w:rPr>
        <w:t>号文件连续强调要加快推进高标准农田建设。“十四五”是全面深化农业农村改革、推进农业供给侧结构性改革、加快发展现代农业、巩固小康决胜成果、夯实乡村振兴基础的关键时期，国家把“三农”问题摆在突出重要的位置，实施一系列更直接、更有力、范围更广的强农惠农政策与措施，为加快发展现代农业、进一步增加农民收入、实施乡村振兴创造了良好环境。乡村振兴的重大战略部署，为今后开展高标准农田建设指明了总体方向。</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highlight w:val="none"/>
          <w:lang w:val="en-US" w:eastAsia="zh-CN" w:bidi="ar-SA"/>
        </w:rPr>
      </w:pPr>
      <w:bookmarkStart w:id="40" w:name="_Toc1689"/>
      <w:r>
        <w:rPr>
          <w:rFonts w:hint="eastAsia" w:ascii="楷体_GB2312" w:hAnsi="楷体_GB2312" w:eastAsia="楷体_GB2312" w:cs="楷体_GB2312"/>
          <w:color w:val="000000"/>
          <w:kern w:val="2"/>
          <w:sz w:val="32"/>
          <w:szCs w:val="32"/>
          <w:lang w:val="en-US" w:eastAsia="zh-CN" w:bidi="ar-SA"/>
        </w:rPr>
        <w:t>（二）</w:t>
      </w:r>
      <w:bookmarkEnd w:id="40"/>
      <w:r>
        <w:rPr>
          <w:rFonts w:hint="eastAsia" w:ascii="楷体_GB2312" w:hAnsi="楷体_GB2312" w:eastAsia="楷体_GB2312" w:cs="楷体_GB2312"/>
          <w:color w:val="000000"/>
          <w:kern w:val="2"/>
          <w:sz w:val="32"/>
          <w:szCs w:val="32"/>
          <w:highlight w:val="none"/>
          <w:lang w:val="en-US" w:eastAsia="zh-CN" w:bidi="ar-SA"/>
        </w:rPr>
        <w:t>省级规划系统部署，制度支撑坚实有力</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湖北省新一轮高标准农田建设规划，提供了政策支撑。围绕提升粮食综合生产能力，坚持新建与改造提升相结合，集中力量打造集中连片、旱涝保收、节水高效、稳产高产、生态友好的高标准农田。到2025年全省累计建成4689万亩高标准农田，到2030年全省累计建成5309万亩高标准农田。2022-2030年新建高标准农田1329万亩，改造提升高标准农田1264万亩。到2035年，高标准农田保有量全面稳定，高标准农田质量全面提升，绿色农田和数字农田建设取得新成效，粮食保障和重要农产品保供能力进一步加强。</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highlight w:val="none"/>
          <w:lang w:val="en-US" w:eastAsia="zh-CN" w:bidi="ar-SA"/>
        </w:rPr>
      </w:pPr>
      <w:bookmarkStart w:id="41" w:name="_Toc27626"/>
      <w:r>
        <w:rPr>
          <w:rFonts w:hint="eastAsia" w:ascii="楷体_GB2312" w:hAnsi="楷体_GB2312" w:eastAsia="楷体_GB2312" w:cs="楷体_GB2312"/>
          <w:color w:val="000000"/>
          <w:kern w:val="2"/>
          <w:sz w:val="32"/>
          <w:szCs w:val="32"/>
          <w:highlight w:val="none"/>
          <w:lang w:val="en-US" w:eastAsia="zh-CN" w:bidi="ar-SA"/>
        </w:rPr>
        <w:t>（三）</w:t>
      </w:r>
      <w:bookmarkEnd w:id="41"/>
      <w:r>
        <w:rPr>
          <w:rFonts w:hint="eastAsia" w:ascii="楷体_GB2312" w:hAnsi="楷体_GB2312" w:eastAsia="楷体_GB2312" w:cs="楷体_GB2312"/>
          <w:color w:val="000000"/>
          <w:kern w:val="2"/>
          <w:sz w:val="32"/>
          <w:szCs w:val="32"/>
          <w:highlight w:val="none"/>
          <w:lang w:val="en-US" w:eastAsia="zh-CN" w:bidi="ar-SA"/>
        </w:rPr>
        <w:t>地方实践经验丰富，建设基础扎实雄厚</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武汉市委、市政府认真贯彻落实中央决策部署，将高标准农田建设放在全市“三农”工作全局中谋划推动，全方位要求、大规模开展、高质量推进，深入落实“藏粮于地、藏粮于技”战略实施。</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江夏区上下高度重视高标准农田建设，在组织形式、工作机制、资金筹措、建设模式等方面创新了一批可复制、可推广的典型模式，培养了人才队伍，为推进高标准农田建设提供了丰富的实践经验和技术支撑，江夏区在农业产业发展中形成的基础设施建设、产业配套和培育的消费市场为农业发展打下了坚实基础。</w:t>
      </w:r>
      <w:bookmarkEnd w:id="1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sectPr>
          <w:footerReference r:id="rId9"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仿宋_GB2312" w:cs="Times New Roman"/>
          <w:color w:val="000000"/>
          <w:kern w:val="2"/>
          <w:sz w:val="32"/>
          <w:szCs w:val="32"/>
          <w:lang w:val="en-US" w:eastAsia="zh-CN" w:bidi="ar-SA"/>
        </w:rPr>
        <w:tab/>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bookmarkStart w:id="42" w:name="_Toc17817"/>
      <w:bookmarkStart w:id="43" w:name="_Toc26603"/>
      <w:r>
        <w:rPr>
          <w:rFonts w:hint="eastAsia" w:ascii="方正小标宋简体" w:hAnsi="方正小标宋简体" w:eastAsia="方正小标宋简体" w:cs="方正小标宋简体"/>
          <w:color w:val="000000"/>
          <w:kern w:val="2"/>
          <w:sz w:val="44"/>
          <w:szCs w:val="44"/>
          <w:lang w:val="en-US" w:eastAsia="zh-CN" w:bidi="ar-SA"/>
        </w:rPr>
        <w:t>第二章  总体要求</w:t>
      </w:r>
      <w:bookmarkEnd w:id="42"/>
      <w:bookmarkEnd w:id="4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44" w:name="_Toc26020"/>
      <w:bookmarkStart w:id="45" w:name="_Toc1106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一、指导思想</w:t>
      </w:r>
      <w:bookmarkEnd w:id="44"/>
      <w:bookmarkEnd w:id="4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坚持以习近平新时代中国特色社会主义思想为指导，全面贯彻党的二十大精神和习近平总书记关于“三农”工作重要论述，认真落实党中央国务院决策部署、按照省委省政府和市委市政府工作要求，深入农业供给侧结构性改革，深入实施“藏粮于地、藏粮于技”，以提升粮食产能为首要目标，以农产品主产区为主体，以永久基本农田、粮食生产功能区、重要农产品生产保护区为重点区域，坚持新增与改造并重、数量与质量并重、建设与管护并重，产量提升与绿色发展协调，分批把永久基本农田全部建成高标准农田，坚决遏制耕地“非农化”、基本农田“非粮化”，为保障粮食安全和重要农产品有效供给提供坚实基础，为全面推进乡村振兴夯实基础。</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黑体" w:hAnsi="黑体" w:eastAsia="黑体" w:cs="黑体"/>
          <w:color w:val="000000"/>
          <w:kern w:val="2"/>
          <w:sz w:val="32"/>
          <w:szCs w:val="32"/>
          <w:lang w:val="en-US" w:eastAsia="zh-CN" w:bidi="ar-SA"/>
        </w:rPr>
      </w:pPr>
      <w:bookmarkStart w:id="46" w:name="_Toc14002"/>
      <w:bookmarkStart w:id="47" w:name="_Toc18890"/>
      <w:r>
        <w:rPr>
          <w:rFonts w:hint="eastAsia" w:ascii="黑体" w:hAnsi="黑体" w:eastAsia="黑体" w:cs="黑体"/>
          <w:color w:val="000000"/>
          <w:kern w:val="2"/>
          <w:sz w:val="32"/>
          <w:szCs w:val="32"/>
          <w:lang w:val="en-US" w:eastAsia="zh-CN" w:bidi="ar-SA"/>
        </w:rPr>
        <w:t>二、基本原则</w:t>
      </w:r>
      <w:bookmarkEnd w:id="46"/>
      <w:bookmarkEnd w:id="4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48" w:name="_Toc18771"/>
      <w:r>
        <w:rPr>
          <w:rFonts w:hint="eastAsia" w:ascii="楷体_GB2312" w:hAnsi="楷体_GB2312" w:eastAsia="楷体_GB2312" w:cs="楷体_GB2312"/>
          <w:color w:val="000000"/>
          <w:kern w:val="2"/>
          <w:sz w:val="32"/>
          <w:szCs w:val="32"/>
          <w:lang w:val="en-US" w:eastAsia="zh-CN" w:bidi="ar-SA"/>
        </w:rPr>
        <w:t>（一）政府主导，多元参与</w:t>
      </w:r>
      <w:bookmarkEnd w:id="4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持续健全投入增长机制，积极争取国家、省级、市级政策资金支持，强化区级财政配套支出，优化新型农业经营主体投入机制，积极引导社会资本和金融资金投入，推动多元筹资，逐步提高投资标准。</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49" w:name="_Toc20301"/>
      <w:r>
        <w:rPr>
          <w:rFonts w:hint="eastAsia" w:ascii="楷体_GB2312" w:hAnsi="楷体_GB2312" w:eastAsia="楷体_GB2312" w:cs="楷体_GB2312"/>
          <w:color w:val="000000"/>
          <w:kern w:val="2"/>
          <w:sz w:val="32"/>
          <w:szCs w:val="32"/>
          <w:lang w:val="en-US" w:eastAsia="zh-CN" w:bidi="ar-SA"/>
        </w:rPr>
        <w:t>（二）科学布局，有序实施</w:t>
      </w:r>
      <w:bookmarkEnd w:id="4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科学确定高标准农田建设布局，严格落实中央、省级、市级规划确定的目标任务和建设要求，坚持新增建设和改造提升并重，以永久基本农田为基础建设高标准农田。</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50" w:name="_Toc26583"/>
      <w:r>
        <w:rPr>
          <w:rFonts w:hint="eastAsia" w:ascii="楷体_GB2312" w:hAnsi="楷体_GB2312" w:eastAsia="楷体_GB2312" w:cs="楷体_GB2312"/>
          <w:color w:val="000000"/>
          <w:kern w:val="2"/>
          <w:sz w:val="32"/>
          <w:szCs w:val="32"/>
          <w:lang w:val="en-US" w:eastAsia="zh-CN" w:bidi="ar-SA"/>
        </w:rPr>
        <w:t>（三）整体谋划，分类推进</w:t>
      </w:r>
      <w:bookmarkEnd w:id="5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坚持建设数量和建成质量并重，因地制宜确定建设重点与内容，统筹推进田、土、水、路、林、电、技、管综合治理，采用统一设计、分期实施、集中连片、整体推进方式进行系统性、连续性、整体性治理开发，满足现代农业发展需要。</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51" w:name="_Toc10651"/>
      <w:r>
        <w:rPr>
          <w:rFonts w:hint="eastAsia" w:ascii="楷体_GB2312" w:hAnsi="楷体_GB2312" w:eastAsia="楷体_GB2312" w:cs="楷体_GB2312"/>
          <w:color w:val="000000"/>
          <w:kern w:val="2"/>
          <w:sz w:val="32"/>
          <w:szCs w:val="32"/>
          <w:lang w:val="en-US" w:eastAsia="zh-CN" w:bidi="ar-SA"/>
        </w:rPr>
        <w:t>（四）绿色集约，创新驱动</w:t>
      </w:r>
      <w:bookmarkEnd w:id="5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将绿色低碳发展理念贯穿高标准农田建设全过程，深入推进农业绿色发展与集约节约化发展，切实加强水土资源集约节约利用和生态环境保护，推动产能提升和绿色发展相协调。加强农业科技配套与应用，推进数字技术与农田建设相结合，提高江夏农田全要素生产效率和管理水平，以科技创新赋能江夏农业高质量发展。</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52" w:name="_Toc24343"/>
      <w:r>
        <w:rPr>
          <w:rFonts w:hint="eastAsia" w:ascii="楷体_GB2312" w:hAnsi="楷体_GB2312" w:eastAsia="楷体_GB2312" w:cs="楷体_GB2312"/>
          <w:color w:val="000000"/>
          <w:kern w:val="2"/>
          <w:sz w:val="32"/>
          <w:szCs w:val="32"/>
          <w:lang w:val="en-US" w:eastAsia="zh-CN" w:bidi="ar-SA"/>
        </w:rPr>
        <w:t>（五）依法严管，良田粮用</w:t>
      </w:r>
      <w:bookmarkEnd w:id="52"/>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坚持工程建设和建后管护并重，建成的高标准农田全面上图入库，健全高标准农田建设、管护、使用的激励和约束机制、监管机制，实行最严格的保护措施，强化用途管控，坚决遏制耕地“非农化”、基本农田“非粮化”，筑牢粮食等农产品有效供给的底线。</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黑体" w:hAnsi="黑体" w:eastAsia="黑体" w:cs="黑体"/>
          <w:color w:val="000000"/>
          <w:kern w:val="2"/>
          <w:sz w:val="32"/>
          <w:szCs w:val="32"/>
          <w:lang w:val="en-US" w:eastAsia="zh-CN" w:bidi="ar-SA"/>
        </w:rPr>
      </w:pPr>
      <w:bookmarkStart w:id="53" w:name="_Toc14201"/>
      <w:bookmarkStart w:id="54" w:name="_Toc27306"/>
      <w:r>
        <w:rPr>
          <w:rFonts w:hint="eastAsia" w:ascii="黑体" w:hAnsi="黑体" w:eastAsia="黑体" w:cs="黑体"/>
          <w:color w:val="000000"/>
          <w:kern w:val="2"/>
          <w:sz w:val="32"/>
          <w:szCs w:val="32"/>
          <w:lang w:val="en-US" w:eastAsia="zh-CN" w:bidi="ar-SA"/>
        </w:rPr>
        <w:t>三、编制过程</w:t>
      </w:r>
      <w:bookmarkEnd w:id="53"/>
      <w:bookmarkEnd w:id="5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55" w:name="_Toc18496"/>
      <w:r>
        <w:rPr>
          <w:rFonts w:hint="eastAsia" w:ascii="楷体_GB2312" w:hAnsi="楷体_GB2312" w:eastAsia="楷体_GB2312" w:cs="楷体_GB2312"/>
          <w:color w:val="000000"/>
          <w:kern w:val="2"/>
          <w:sz w:val="32"/>
          <w:szCs w:val="32"/>
          <w:lang w:val="en-US" w:eastAsia="zh-CN" w:bidi="ar-SA"/>
        </w:rPr>
        <w:t>（一）前期工作阶段</w:t>
      </w:r>
      <w:bookmarkEnd w:id="5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1.组建规划编制小组。负责制定工作方案，明确规划目标、任务、技术路线、工作安排、成果要求等规划编制中的具体工作。</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.进行前期的宣传动员，对相关人员进行培训。</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.技术准备。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（1）规划基数确定</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《规划》现状数据以第三次全国土地调查及年度土地变更调查数据为基础。</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（2）基础图件准备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在全国土地调查有关图件的基础上，结合近期土地利用变化，调整形成规划基期的土地利用现状图。</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（3）以区为单元收集基础资料</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自然资源：</w:t>
      </w:r>
      <w:r>
        <w:rPr>
          <w:rFonts w:hint="eastAsia" w:ascii="Times New Roman" w:hAnsi="Times New Roman" w:eastAsia="仿宋_GB2312" w:cs="Times New Roman"/>
          <w:color w:val="000000"/>
          <w:kern w:val="2"/>
          <w:sz w:val="32"/>
          <w:szCs w:val="32"/>
          <w:lang w:val="en-US" w:eastAsia="zh-CN" w:bidi="ar-SA"/>
        </w:rPr>
        <w:t>包括土地资源、水资源、生物资源、矿产资源、景观资源等资料；</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经济社会状况：</w:t>
      </w:r>
      <w:r>
        <w:rPr>
          <w:rFonts w:hint="eastAsia" w:ascii="Times New Roman" w:hAnsi="Times New Roman" w:eastAsia="仿宋_GB2312" w:cs="Times New Roman"/>
          <w:color w:val="000000"/>
          <w:kern w:val="2"/>
          <w:sz w:val="32"/>
          <w:szCs w:val="32"/>
          <w:lang w:val="en-US" w:eastAsia="zh-CN" w:bidi="ar-SA"/>
        </w:rPr>
        <w:t>包括人口状况、经济发展水平、产业结构、农用地分等、基础设施、民风民俗、历史文化等资料；</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生态环境状況：</w:t>
      </w:r>
      <w:r>
        <w:rPr>
          <w:rFonts w:hint="eastAsia" w:ascii="Times New Roman" w:hAnsi="Times New Roman" w:eastAsia="仿宋_GB2312" w:cs="Times New Roman"/>
          <w:color w:val="000000"/>
          <w:kern w:val="2"/>
          <w:sz w:val="32"/>
          <w:szCs w:val="32"/>
          <w:lang w:val="en-US" w:eastAsia="zh-CN" w:bidi="ar-SA"/>
        </w:rPr>
        <w:t>包括土地盐碱化、土地污染、水土流失状况及生态环境评估、监测，生态保护建设等资料；</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耕地现状：</w:t>
      </w:r>
      <w:r>
        <w:rPr>
          <w:rFonts w:hint="eastAsia" w:ascii="Times New Roman" w:hAnsi="Times New Roman" w:eastAsia="仿宋_GB2312" w:cs="Times New Roman"/>
          <w:color w:val="000000"/>
          <w:kern w:val="2"/>
          <w:sz w:val="32"/>
          <w:szCs w:val="32"/>
          <w:lang w:val="en-US" w:eastAsia="zh-CN" w:bidi="ar-SA"/>
        </w:rPr>
        <w:t>包括耕地结构和布局，数量和质量，可建设的类型、数量、质量、范围、布局等资料；</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相关规划、标准：</w:t>
      </w:r>
      <w:r>
        <w:rPr>
          <w:rFonts w:hint="eastAsia" w:ascii="Times New Roman" w:hAnsi="Times New Roman" w:eastAsia="仿宋_GB2312" w:cs="Times New Roman"/>
          <w:color w:val="000000"/>
          <w:kern w:val="2"/>
          <w:sz w:val="32"/>
          <w:szCs w:val="32"/>
          <w:lang w:val="en-US" w:eastAsia="zh-CN" w:bidi="ar-SA"/>
        </w:rPr>
        <w:t>包括高标准农田建设涉及的农业、林业、牧业、城乡建设、交通、水利、环保、旅游、自然保护等部门规划等资料。</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（4）资料整理与调查</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审核所收集资料的合法性、真实性和可靠性，按其类别、性质进行整理，必要时进行实地核实和补充调査。</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（5）高标准农田建设需求调査</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对江夏区下属各街、村的高标准农田建设需求以及适宜性进行调査。</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56" w:name="_Toc31444"/>
      <w:r>
        <w:rPr>
          <w:rFonts w:hint="eastAsia" w:ascii="楷体_GB2312" w:hAnsi="楷体_GB2312" w:eastAsia="楷体_GB2312" w:cs="楷体_GB2312"/>
          <w:color w:val="000000"/>
          <w:kern w:val="2"/>
          <w:sz w:val="32"/>
          <w:szCs w:val="32"/>
          <w:lang w:val="en-US" w:eastAsia="zh-CN" w:bidi="ar-SA"/>
        </w:rPr>
        <w:t>（二）规划编制阶段</w:t>
      </w:r>
      <w:bookmarkEnd w:id="5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1.调査分析与基础研究</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针对规划目的及规划任务，对搜集的不可靠资料进行剔除，对资料进行补充调査和更新。本阶段主要内容包括上轮规划实施评价、上位规划分析研究、高标准农田建设选址</w:t>
      </w:r>
      <w:r>
        <w:rPr>
          <w:rFonts w:hint="eastAsia" w:eastAsia="仿宋_GB2312" w:cs="Times New Roman"/>
          <w:color w:val="000000"/>
          <w:kern w:val="2"/>
          <w:sz w:val="32"/>
          <w:szCs w:val="32"/>
          <w:lang w:val="en-US" w:eastAsia="zh-CN" w:bidi="ar-SA"/>
        </w:rPr>
        <w:t>调查</w:t>
      </w:r>
      <w:r>
        <w:rPr>
          <w:rFonts w:hint="eastAsia" w:ascii="Times New Roman" w:hAnsi="Times New Roman" w:eastAsia="仿宋_GB2312" w:cs="Times New Roman"/>
          <w:color w:val="000000"/>
          <w:kern w:val="2"/>
          <w:sz w:val="32"/>
          <w:szCs w:val="32"/>
          <w:lang w:val="en-US" w:eastAsia="zh-CN" w:bidi="ar-SA"/>
        </w:rPr>
        <w:t>评价、重点区域划定及重大问题研究等。</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2.拟定规划供选方案</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在调査分析与基础研究基础上，通过部门协调，上下反馈，修正初步目标，包括高标准农田建设目标确定，分区与布局确定，建设重点项目安排，投资分析，近期规划安排，规划实施保障措施等内容，拟定若干规划供选方案。</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b/>
          <w:bCs/>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3.确定规划方案</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规划推荐方案应广泛征求有关部门、专家和公众意见，修改完善后，经规划领导小组审定，形成规划方案。</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57" w:name="_Toc23630"/>
      <w:r>
        <w:rPr>
          <w:rFonts w:hint="eastAsia" w:ascii="楷体_GB2312" w:hAnsi="楷体_GB2312" w:eastAsia="楷体_GB2312" w:cs="楷体_GB2312"/>
          <w:color w:val="000000"/>
          <w:kern w:val="2"/>
          <w:sz w:val="32"/>
          <w:szCs w:val="32"/>
          <w:lang w:val="en-US" w:eastAsia="zh-CN" w:bidi="ar-SA"/>
        </w:rPr>
        <w:t>（三）规划评审及报批阶段</w:t>
      </w:r>
      <w:bookmarkEnd w:id="5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由江夏区农业农村局组织有关部门和专家对规划成果进行评审，市农业农村局对规划成果进行审查。根据意见修改完善，报江夏区人民政府审批，审批后的规划成果报武汉市农业农村局备案。</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58" w:name="_Toc26954"/>
      <w:bookmarkStart w:id="59" w:name="_Toc5234"/>
      <w:r>
        <w:rPr>
          <w:rFonts w:hint="eastAsia" w:ascii="黑体" w:hAnsi="黑体" w:eastAsia="黑体" w:cs="黑体"/>
          <w:color w:val="000000"/>
          <w:kern w:val="2"/>
          <w:sz w:val="32"/>
          <w:szCs w:val="32"/>
          <w:lang w:val="en-US" w:eastAsia="zh-CN" w:bidi="ar-SA"/>
        </w:rPr>
        <w:t>四、规划任务</w:t>
      </w:r>
      <w:bookmarkEnd w:id="58"/>
      <w:bookmarkEnd w:id="5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2026-2030年建设高标准农田总任务</w:t>
      </w:r>
      <w:r>
        <w:rPr>
          <w:rFonts w:hint="eastAsia" w:eastAsia="仿宋_GB2312" w:cs="Times New Roman"/>
          <w:color w:val="auto"/>
          <w:kern w:val="2"/>
          <w:sz w:val="32"/>
          <w:szCs w:val="32"/>
          <w:lang w:val="en-US" w:eastAsia="zh-CN" w:bidi="ar-SA"/>
        </w:rPr>
        <w:t>6.12</w:t>
      </w:r>
      <w:r>
        <w:rPr>
          <w:rFonts w:hint="eastAsia" w:ascii="Times New Roman" w:hAnsi="Times New Roman" w:eastAsia="仿宋_GB2312" w:cs="Times New Roman"/>
          <w:color w:val="auto"/>
          <w:kern w:val="2"/>
          <w:sz w:val="32"/>
          <w:szCs w:val="32"/>
          <w:lang w:val="en-US" w:eastAsia="zh-CN" w:bidi="ar-SA"/>
        </w:rPr>
        <w:t>万亩，其中新建高标准农田</w:t>
      </w:r>
      <w:r>
        <w:rPr>
          <w:rFonts w:hint="eastAsia" w:eastAsia="仿宋_GB2312" w:cs="Times New Roman"/>
          <w:color w:val="auto"/>
          <w:kern w:val="2"/>
          <w:sz w:val="32"/>
          <w:szCs w:val="32"/>
          <w:lang w:val="en-US" w:eastAsia="zh-CN" w:bidi="ar-SA"/>
        </w:rPr>
        <w:t>3.59</w:t>
      </w:r>
      <w:r>
        <w:rPr>
          <w:rFonts w:hint="eastAsia" w:ascii="Times New Roman" w:hAnsi="Times New Roman" w:eastAsia="仿宋_GB2312" w:cs="Times New Roman"/>
          <w:color w:val="auto"/>
          <w:kern w:val="2"/>
          <w:sz w:val="32"/>
          <w:szCs w:val="32"/>
          <w:lang w:val="en-US" w:eastAsia="zh-CN" w:bidi="ar-SA"/>
        </w:rPr>
        <w:t>万亩，改造</w:t>
      </w:r>
      <w:r>
        <w:rPr>
          <w:rFonts w:hint="eastAsia" w:eastAsia="仿宋_GB2312" w:cs="Times New Roman"/>
          <w:color w:val="auto"/>
          <w:kern w:val="2"/>
          <w:sz w:val="32"/>
          <w:szCs w:val="32"/>
          <w:lang w:val="en-US" w:eastAsia="zh-CN" w:bidi="ar-SA"/>
        </w:rPr>
        <w:t>提升2.53</w:t>
      </w:r>
      <w:r>
        <w:rPr>
          <w:rFonts w:hint="eastAsia" w:ascii="Times New Roman" w:hAnsi="Times New Roman" w:eastAsia="仿宋_GB2312" w:cs="Times New Roman"/>
          <w:color w:val="auto"/>
          <w:kern w:val="2"/>
          <w:sz w:val="32"/>
          <w:szCs w:val="32"/>
          <w:lang w:val="en-US" w:eastAsia="zh-CN" w:bidi="ar-SA"/>
        </w:rPr>
        <w:t>万亩（</w:t>
      </w:r>
      <w:r>
        <w:rPr>
          <w:rFonts w:hint="eastAsia" w:eastAsia="仿宋_GB2312" w:cs="Times New Roman"/>
          <w:color w:val="auto"/>
          <w:kern w:val="2"/>
          <w:sz w:val="32"/>
          <w:szCs w:val="32"/>
          <w:lang w:val="en-US" w:eastAsia="zh-CN" w:bidi="ar-SA"/>
        </w:rPr>
        <w:t>计划数，根据省市年度下达建设任务以及街道实际建设需求动态调整</w:t>
      </w:r>
      <w:r>
        <w:rPr>
          <w:rFonts w:hint="eastAsia" w:ascii="Times New Roman" w:hAnsi="Times New Roman" w:eastAsia="仿宋_GB2312" w:cs="Times New Roman"/>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建成的高标准农田集中连片，田块平整，配套的水、电、路设施完善，耕地质量和地力等级提高，科技服务能力得到加强，生态修复能力得到提升。</w:t>
      </w:r>
    </w:p>
    <w:tbl>
      <w:tblPr>
        <w:tblStyle w:val="2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9"/>
        <w:gridCol w:w="1967"/>
        <w:gridCol w:w="5286"/>
        <w:gridCol w:w="10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blHeader/>
          <w:jc w:val="center"/>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32"/>
                <w:szCs w:val="32"/>
                <w:lang w:val="en-US" w:eastAsia="zh-CN" w:bidi="ar-SA"/>
              </w:rPr>
              <w:t xml:space="preserve">专栏2 </w:t>
            </w:r>
            <w:r>
              <w:rPr>
                <w:rFonts w:hint="eastAsia" w:ascii="Times New Roman" w:hAnsi="Times New Roman" w:eastAsia="仿宋_GB2312" w:cs="Times New Roman"/>
                <w:color w:val="000000"/>
                <w:kern w:val="2"/>
                <w:sz w:val="32"/>
                <w:szCs w:val="32"/>
                <w:lang w:val="en-US" w:eastAsia="zh-CN" w:bidi="ar-SA"/>
              </w:rPr>
              <w:t xml:space="preserve"> 江夏区高标准农田建设主要指标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tblHeader/>
          <w:jc w:val="center"/>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序号</w:t>
            </w:r>
          </w:p>
        </w:tc>
        <w:tc>
          <w:tcPr>
            <w:tcW w:w="10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指标</w:t>
            </w:r>
          </w:p>
        </w:tc>
        <w:tc>
          <w:tcPr>
            <w:tcW w:w="2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目标值</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属性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4"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w:t>
            </w:r>
          </w:p>
        </w:tc>
        <w:tc>
          <w:tcPr>
            <w:tcW w:w="1085"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新建高标准农田面积</w:t>
            </w:r>
          </w:p>
        </w:tc>
        <w:tc>
          <w:tcPr>
            <w:tcW w:w="2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kern w:val="2"/>
                <w:sz w:val="24"/>
                <w:szCs w:val="24"/>
                <w:lang w:val="en-US" w:eastAsia="zh-CN" w:bidi="ar-SA"/>
              </w:rPr>
              <w:t>2026-2030年：新增</w:t>
            </w:r>
            <w:r>
              <w:rPr>
                <w:rFonts w:hint="eastAsia" w:eastAsia="仿宋_GB2312" w:cs="Times New Roman"/>
                <w:color w:val="auto"/>
                <w:kern w:val="2"/>
                <w:sz w:val="24"/>
                <w:szCs w:val="24"/>
                <w:lang w:val="en-US" w:eastAsia="zh-CN" w:bidi="ar-SA"/>
              </w:rPr>
              <w:t>3.59</w:t>
            </w:r>
            <w:r>
              <w:rPr>
                <w:rFonts w:hint="eastAsia" w:ascii="Times New Roman" w:hAnsi="Times New Roman" w:eastAsia="仿宋_GB2312" w:cs="Times New Roman"/>
                <w:color w:val="auto"/>
                <w:kern w:val="2"/>
                <w:sz w:val="24"/>
                <w:szCs w:val="24"/>
                <w:lang w:val="en-US" w:eastAsia="zh-CN" w:bidi="ar-SA"/>
              </w:rPr>
              <w:t>万亩</w:t>
            </w:r>
          </w:p>
        </w:tc>
        <w:tc>
          <w:tcPr>
            <w:tcW w:w="573"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4"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w:t>
            </w:r>
          </w:p>
        </w:tc>
        <w:tc>
          <w:tcPr>
            <w:tcW w:w="1085"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改造提升高标准农田面积</w:t>
            </w:r>
          </w:p>
        </w:tc>
        <w:tc>
          <w:tcPr>
            <w:tcW w:w="2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kern w:val="2"/>
                <w:sz w:val="24"/>
                <w:szCs w:val="24"/>
                <w:lang w:val="en-US" w:eastAsia="zh-CN" w:bidi="ar-SA"/>
              </w:rPr>
              <w:t>2026-2030年：</w:t>
            </w:r>
            <w:r>
              <w:rPr>
                <w:rFonts w:hint="eastAsia" w:eastAsia="仿宋_GB2312" w:cs="Times New Roman"/>
                <w:color w:val="auto"/>
                <w:kern w:val="2"/>
                <w:sz w:val="24"/>
                <w:szCs w:val="24"/>
                <w:lang w:val="en-US" w:eastAsia="zh-CN" w:bidi="ar-SA"/>
              </w:rPr>
              <w:t>改造提升2.53</w:t>
            </w:r>
            <w:r>
              <w:rPr>
                <w:rFonts w:hint="eastAsia" w:ascii="Times New Roman" w:hAnsi="Times New Roman" w:eastAsia="仿宋_GB2312" w:cs="Times New Roman"/>
                <w:color w:val="auto"/>
                <w:kern w:val="2"/>
                <w:sz w:val="24"/>
                <w:szCs w:val="24"/>
                <w:lang w:val="en-US" w:eastAsia="zh-CN" w:bidi="ar-SA"/>
              </w:rPr>
              <w:t>万亩</w:t>
            </w:r>
          </w:p>
        </w:tc>
        <w:tc>
          <w:tcPr>
            <w:tcW w:w="573"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24" w:type="pct"/>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3</w:t>
            </w:r>
          </w:p>
        </w:tc>
        <w:tc>
          <w:tcPr>
            <w:tcW w:w="1085" w:type="pct"/>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新增粮食综合生产能力</w:t>
            </w:r>
          </w:p>
        </w:tc>
        <w:tc>
          <w:tcPr>
            <w:tcW w:w="2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kern w:val="2"/>
                <w:sz w:val="24"/>
                <w:szCs w:val="24"/>
                <w:lang w:val="en-US" w:eastAsia="zh-CN" w:bidi="ar-SA"/>
              </w:rPr>
              <w:t>新增高标准农田亩均综合产能提高</w:t>
            </w:r>
            <w:r>
              <w:rPr>
                <w:rFonts w:hint="eastAsia" w:eastAsia="仿宋_GB2312" w:cs="Times New Roman"/>
                <w:color w:val="auto"/>
                <w:kern w:val="2"/>
                <w:sz w:val="24"/>
                <w:szCs w:val="24"/>
                <w:lang w:val="en-US" w:eastAsia="zh-CN" w:bidi="ar-SA"/>
              </w:rPr>
              <w:t>5%-10%</w:t>
            </w:r>
          </w:p>
        </w:tc>
        <w:tc>
          <w:tcPr>
            <w:tcW w:w="573" w:type="pct"/>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24" w:type="pct"/>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1085" w:type="pct"/>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2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kern w:val="2"/>
                <w:sz w:val="24"/>
                <w:szCs w:val="24"/>
                <w:lang w:val="en-US" w:eastAsia="zh-CN" w:bidi="ar-SA"/>
              </w:rPr>
              <w:t>改造提升高标准农田亩均综合产能提高</w:t>
            </w:r>
            <w:r>
              <w:rPr>
                <w:rFonts w:hint="eastAsia" w:eastAsia="仿宋_GB2312" w:cs="Times New Roman"/>
                <w:color w:val="auto"/>
                <w:kern w:val="2"/>
                <w:sz w:val="24"/>
                <w:szCs w:val="24"/>
                <w:lang w:val="en-US" w:eastAsia="zh-CN" w:bidi="ar-SA"/>
              </w:rPr>
              <w:t>5%-10%</w:t>
            </w:r>
          </w:p>
        </w:tc>
        <w:tc>
          <w:tcPr>
            <w:tcW w:w="573" w:type="pct"/>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424" w:type="pct"/>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4</w:t>
            </w:r>
          </w:p>
        </w:tc>
        <w:tc>
          <w:tcPr>
            <w:tcW w:w="1085" w:type="pct"/>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耕地质量等级</w:t>
            </w:r>
          </w:p>
        </w:tc>
        <w:tc>
          <w:tcPr>
            <w:tcW w:w="2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新建高标准农田耕地质量平均等级宜提升1等</w:t>
            </w:r>
          </w:p>
        </w:tc>
        <w:tc>
          <w:tcPr>
            <w:tcW w:w="573" w:type="pct"/>
            <w:vMerge w:val="restar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424" w:type="pct"/>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1085" w:type="pct"/>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2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改造提升高标准农田耕地质量平均等级提升0.5等</w:t>
            </w:r>
          </w:p>
        </w:tc>
        <w:tc>
          <w:tcPr>
            <w:tcW w:w="573" w:type="pct"/>
            <w:vMerge w:val="continue"/>
            <w:tcBorders>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4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5</w:t>
            </w:r>
          </w:p>
        </w:tc>
        <w:tc>
          <w:tcPr>
            <w:tcW w:w="10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建成高标准农田上图入库覆盖率</w:t>
            </w:r>
          </w:p>
        </w:tc>
        <w:tc>
          <w:tcPr>
            <w:tcW w:w="2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100%</w:t>
            </w:r>
          </w:p>
        </w:tc>
        <w:tc>
          <w:tcPr>
            <w:tcW w:w="5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预期性</w:t>
            </w:r>
          </w:p>
        </w:tc>
      </w:tr>
    </w:tbl>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60" w:name="_Toc15805"/>
      <w:bookmarkStart w:id="61" w:name="_Toc11783"/>
      <w:r>
        <w:rPr>
          <w:rFonts w:hint="eastAsia" w:ascii="黑体" w:hAnsi="黑体" w:eastAsia="黑体" w:cs="黑体"/>
          <w:color w:val="000000"/>
          <w:kern w:val="2"/>
          <w:sz w:val="32"/>
          <w:szCs w:val="32"/>
          <w:lang w:val="en-US" w:eastAsia="zh-CN" w:bidi="ar-SA"/>
        </w:rPr>
        <w:t>五、规划依据</w:t>
      </w:r>
      <w:bookmarkEnd w:id="60"/>
      <w:bookmarkEnd w:id="61"/>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1.《中华人民共和国土地管理法》；</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2.《基本农田保护条例》；</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3.《中华人民共和国农业法》；</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4.《国务院办公厅关于切实加强高标准农田建设提升国家粮食安全保障能力的意见》（国办发〔2019〕50号）；</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5.《农田建设项目管理办法》（农业农村部令2019第4号）；</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6.《全国高标准农田建设规划》（2021-2030）；</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7.《湖北省高标准农田建设规划》（2022-2030年）；</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8.《湖北省乡村振兴战略规划（2018-2022年）》；</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9.《湖北省绿色农田建设示范指导意见》；</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10.《武汉市高标准农田建设规划（2022-2030年）》；</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highlight w:val="none"/>
          <w:lang w:val="en-US" w:eastAsia="zh-CN" w:bidi="ar-SA"/>
        </w:rPr>
        <w:t>11</w:t>
      </w:r>
      <w:r>
        <w:rPr>
          <w:rFonts w:hint="eastAsia" w:ascii="Times New Roman" w:hAnsi="Times New Roman" w:eastAsia="仿宋_GB2312" w:cs="Times New Roman"/>
          <w:color w:val="000000"/>
          <w:kern w:val="2"/>
          <w:sz w:val="32"/>
          <w:szCs w:val="32"/>
          <w:highlight w:val="none"/>
          <w:lang w:val="en-US" w:eastAsia="zh-CN" w:bidi="ar-SA"/>
        </w:rPr>
        <w:t>.《高</w:t>
      </w:r>
      <w:r>
        <w:rPr>
          <w:rFonts w:hint="eastAsia" w:ascii="Times New Roman" w:hAnsi="Times New Roman" w:eastAsia="仿宋_GB2312" w:cs="Times New Roman"/>
          <w:color w:val="000000"/>
          <w:kern w:val="2"/>
          <w:sz w:val="32"/>
          <w:szCs w:val="32"/>
          <w:lang w:val="en-US" w:eastAsia="zh-CN" w:bidi="ar-SA"/>
        </w:rPr>
        <w:t>标准农田建设通则》（GB/T30600－2022）；</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r>
        <w:rPr>
          <w:rFonts w:hint="eastAsia"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.《江夏区农业农村发展“十四五”规划》（2021-2025年）；</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r>
        <w:rPr>
          <w:rFonts w:hint="eastAsia"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.《江夏区“十二五”以来高标准农田建设评估报告》；</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r>
        <w:rPr>
          <w:rFonts w:hint="eastAsia"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.《江夏区土壤志》；</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r>
        <w:rPr>
          <w:rFonts w:hint="eastAsia" w:eastAsia="仿宋_GB2312" w:cs="Times New Roman"/>
          <w:color w:val="000000"/>
          <w:kern w:val="2"/>
          <w:sz w:val="32"/>
          <w:szCs w:val="32"/>
          <w:lang w:val="en-US" w:eastAsia="zh-CN" w:bidi="ar-SA"/>
        </w:rPr>
        <w:t>5</w:t>
      </w:r>
      <w:r>
        <w:rPr>
          <w:rFonts w:hint="eastAsia" w:ascii="Times New Roman" w:hAnsi="Times New Roman" w:eastAsia="仿宋_GB2312" w:cs="Times New Roman"/>
          <w:color w:val="000000"/>
          <w:kern w:val="2"/>
          <w:sz w:val="32"/>
          <w:szCs w:val="32"/>
          <w:lang w:val="en-US" w:eastAsia="zh-CN" w:bidi="ar-SA"/>
        </w:rPr>
        <w:t>.《江夏区统计年鉴（2019年）》；</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r>
        <w:rPr>
          <w:rFonts w:hint="eastAsia" w:eastAsia="仿宋_GB2312" w:cs="Times New Roman"/>
          <w:color w:val="000000"/>
          <w:kern w:val="2"/>
          <w:sz w:val="32"/>
          <w:szCs w:val="32"/>
          <w:lang w:val="en-US" w:eastAsia="zh-CN" w:bidi="ar-SA"/>
        </w:rPr>
        <w:t>6</w:t>
      </w:r>
      <w:r>
        <w:rPr>
          <w:rFonts w:hint="eastAsia" w:ascii="Times New Roman" w:hAnsi="Times New Roman" w:eastAsia="仿宋_GB2312" w:cs="Times New Roman"/>
          <w:color w:val="000000"/>
          <w:kern w:val="2"/>
          <w:sz w:val="32"/>
          <w:szCs w:val="32"/>
          <w:lang w:val="en-US" w:eastAsia="zh-CN" w:bidi="ar-SA"/>
        </w:rPr>
        <w:t>.江夏区永久基本农田划定成果、“两区”划定成果、耕地质量监测评价成果；</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r>
        <w:rPr>
          <w:rFonts w:hint="eastAsia" w:eastAsia="仿宋_GB2312" w:cs="Times New Roman"/>
          <w:color w:val="000000"/>
          <w:kern w:val="2"/>
          <w:sz w:val="32"/>
          <w:szCs w:val="32"/>
          <w:lang w:val="en-US" w:eastAsia="zh-CN" w:bidi="ar-SA"/>
        </w:rPr>
        <w:t>7</w:t>
      </w:r>
      <w:r>
        <w:rPr>
          <w:rFonts w:hint="eastAsia" w:ascii="Times New Roman" w:hAnsi="Times New Roman" w:eastAsia="仿宋_GB2312" w:cs="Times New Roman"/>
          <w:color w:val="000000"/>
          <w:kern w:val="2"/>
          <w:sz w:val="32"/>
          <w:szCs w:val="32"/>
          <w:lang w:val="en-US" w:eastAsia="zh-CN" w:bidi="ar-SA"/>
        </w:rPr>
        <w:t>.江夏区第三次国土调查2020年度变更调查数据；</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1</w:t>
      </w:r>
      <w:r>
        <w:rPr>
          <w:rFonts w:hint="eastAsia" w:eastAsia="仿宋_GB2312" w:cs="Times New Roman"/>
          <w:color w:val="000000"/>
          <w:kern w:val="2"/>
          <w:sz w:val="32"/>
          <w:szCs w:val="32"/>
          <w:lang w:val="en-US" w:eastAsia="zh-CN" w:bidi="ar-SA"/>
        </w:rPr>
        <w:t>8</w:t>
      </w:r>
      <w:r>
        <w:rPr>
          <w:rFonts w:hint="eastAsia" w:ascii="Times New Roman" w:hAnsi="Times New Roman" w:eastAsia="仿宋_GB2312" w:cs="Times New Roman"/>
          <w:color w:val="000000"/>
          <w:kern w:val="2"/>
          <w:sz w:val="32"/>
          <w:szCs w:val="32"/>
          <w:lang w:val="en-US" w:eastAsia="zh-CN" w:bidi="ar-SA"/>
        </w:rPr>
        <w:t>.江夏区国土空间规划“三区三线”划定成果；</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62" w:name="_Toc11624"/>
      <w:bookmarkStart w:id="63" w:name="_Toc22119"/>
      <w:r>
        <w:rPr>
          <w:rFonts w:hint="eastAsia" w:ascii="黑体" w:hAnsi="黑体" w:eastAsia="黑体" w:cs="黑体"/>
          <w:color w:val="000000"/>
          <w:kern w:val="2"/>
          <w:sz w:val="32"/>
          <w:szCs w:val="32"/>
          <w:lang w:val="en-US" w:eastAsia="zh-CN" w:bidi="ar-SA"/>
        </w:rPr>
        <w:t>六、</w:t>
      </w:r>
      <w:bookmarkEnd w:id="62"/>
      <w:bookmarkEnd w:id="63"/>
      <w:bookmarkStart w:id="64" w:name="_Toc29109"/>
      <w:bookmarkStart w:id="65" w:name="_Toc22572"/>
      <w:r>
        <w:rPr>
          <w:rFonts w:hint="eastAsia" w:ascii="黑体" w:hAnsi="黑体" w:eastAsia="黑体" w:cs="黑体"/>
          <w:color w:val="000000"/>
          <w:kern w:val="2"/>
          <w:sz w:val="32"/>
          <w:szCs w:val="32"/>
          <w:lang w:val="en-US" w:eastAsia="zh-CN" w:bidi="ar-SA"/>
        </w:rPr>
        <w:t>规划时限</w:t>
      </w:r>
      <w:bookmarkEnd w:id="64"/>
      <w:bookmarkEnd w:id="65"/>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规划基准年：202</w:t>
      </w:r>
      <w:r>
        <w:rPr>
          <w:rFonts w:hint="eastAsia" w:eastAsia="仿宋_GB2312" w:cs="Times New Roman"/>
          <w:color w:val="000000"/>
          <w:kern w:val="2"/>
          <w:sz w:val="32"/>
          <w:szCs w:val="32"/>
          <w:lang w:val="en-US" w:eastAsia="zh-CN" w:bidi="ar-SA"/>
        </w:rPr>
        <w:t>6</w:t>
      </w:r>
      <w:r>
        <w:rPr>
          <w:rFonts w:hint="eastAsia" w:ascii="Times New Roman" w:hAnsi="Times New Roman" w:eastAsia="仿宋_GB2312" w:cs="Times New Roman"/>
          <w:color w:val="000000"/>
          <w:kern w:val="2"/>
          <w:sz w:val="32"/>
          <w:szCs w:val="32"/>
          <w:lang w:val="en-US" w:eastAsia="zh-CN" w:bidi="ar-SA"/>
        </w:rPr>
        <w:t>年。</w:t>
      </w:r>
    </w:p>
    <w:p>
      <w:pPr>
        <w:keepNext w:val="0"/>
        <w:keepLines w:val="0"/>
        <w:pageBreakBefore w:val="0"/>
        <w:widowControl w:val="0"/>
        <w:kinsoku/>
        <w:wordWrap/>
        <w:overflowPunct/>
        <w:topLinePunct w:val="0"/>
        <w:autoSpaceDE/>
        <w:autoSpaceDN/>
        <w:bidi w:val="0"/>
        <w:adjustRightInd/>
        <w:snapToGrid/>
        <w:spacing w:before="0" w:after="0" w:line="574"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仿宋_GB2312" w:cs="Times New Roman"/>
          <w:color w:val="000000"/>
          <w:kern w:val="2"/>
          <w:sz w:val="32"/>
          <w:szCs w:val="32"/>
          <w:lang w:val="en-US" w:eastAsia="zh-CN" w:bidi="ar-SA"/>
        </w:rPr>
        <w:t>规划期限：2026-2030年。</w:t>
      </w:r>
    </w:p>
    <w:p>
      <w:pPr>
        <w:keepNext w:val="0"/>
        <w:keepLines w:val="0"/>
        <w:pageBreakBefore w:val="0"/>
        <w:widowControl w:val="0"/>
        <w:kinsoku/>
        <w:wordWrap/>
        <w:overflowPunct/>
        <w:topLinePunct w:val="0"/>
        <w:autoSpaceDE/>
        <w:autoSpaceDN/>
        <w:bidi w:val="0"/>
        <w:adjustRightInd/>
        <w:snapToGrid/>
        <w:spacing w:before="0" w:after="0" w:line="554"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bookmarkStart w:id="66" w:name="_Toc18198"/>
      <w:bookmarkStart w:id="67" w:name="_Toc26654"/>
      <w:r>
        <w:rPr>
          <w:rFonts w:hint="eastAsia" w:ascii="方正小标宋简体" w:hAnsi="方正小标宋简体" w:eastAsia="方正小标宋简体" w:cs="方正小标宋简体"/>
          <w:color w:val="000000"/>
          <w:kern w:val="2"/>
          <w:sz w:val="44"/>
          <w:szCs w:val="44"/>
          <w:lang w:val="en-US" w:eastAsia="zh-CN" w:bidi="ar-SA"/>
        </w:rPr>
        <w:t>第三章  建设标准和建设内容</w:t>
      </w:r>
      <w:bookmarkEnd w:id="66"/>
      <w:bookmarkEnd w:id="67"/>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default" w:ascii="Times New Roman" w:hAnsi="Times New Roman" w:eastAsia="仿宋_GB2312" w:cs="Times New Roman"/>
          <w:color w:val="000000"/>
          <w:spacing w:val="-6"/>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依据《高标准农田建设通则》（GB/T30600-2022）等国家标准、行业标准和相关技术规范，结合</w:t>
      </w:r>
      <w:r>
        <w:rPr>
          <w:rFonts w:hint="eastAsia" w:ascii="Times New Roman" w:hAnsi="Times New Roman" w:eastAsia="仿宋_GB2312" w:cs="Times New Roman"/>
          <w:color w:val="000000"/>
          <w:kern w:val="2"/>
          <w:sz w:val="32"/>
          <w:szCs w:val="32"/>
          <w:lang w:val="en-US" w:eastAsia="zh-CN" w:bidi="ar-SA"/>
        </w:rPr>
        <w:t>江夏区</w:t>
      </w:r>
      <w:r>
        <w:rPr>
          <w:rFonts w:hint="default" w:ascii="Times New Roman" w:hAnsi="Times New Roman" w:eastAsia="仿宋_GB2312" w:cs="Times New Roman"/>
          <w:color w:val="000000"/>
          <w:kern w:val="2"/>
          <w:sz w:val="32"/>
          <w:szCs w:val="32"/>
          <w:lang w:val="en-US" w:eastAsia="zh-CN" w:bidi="ar-SA"/>
        </w:rPr>
        <w:t>农田建设现状，统筹考虑高标准农田建设的农业、水利、土地、林业、电力、气象等因素，重点围绕农田土地生产能力、灌排能力、田间道路通行运输能力、农田防护与生态环境保持能力、机械化水平、科技应用水平、建后管护能力等建设要求，紧扣高标准农田建设</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田土水路林电技管</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八个方面内容，建立健全科学统一、层次分明、结构合理的高标准农田建设标准体系。完善高标准农田建设管理，严格按照省市高标准农田建设项目初步设计要求进行编制，落实工程建设、耕地质量提升和建后管护等相关要求。根据各</w:t>
      </w:r>
      <w:r>
        <w:rPr>
          <w:rFonts w:hint="eastAsia" w:ascii="Times New Roman" w:hAnsi="Times New Roman" w:eastAsia="仿宋_GB2312" w:cs="Times New Roman"/>
          <w:color w:val="000000"/>
          <w:kern w:val="2"/>
          <w:sz w:val="32"/>
          <w:szCs w:val="32"/>
          <w:lang w:val="en-US" w:eastAsia="zh-CN" w:bidi="ar-SA"/>
        </w:rPr>
        <w:t>街道</w:t>
      </w:r>
      <w:r>
        <w:rPr>
          <w:rFonts w:hint="default" w:ascii="Times New Roman" w:hAnsi="Times New Roman" w:eastAsia="仿宋_GB2312" w:cs="Times New Roman"/>
          <w:color w:val="000000"/>
          <w:kern w:val="2"/>
          <w:sz w:val="32"/>
          <w:szCs w:val="32"/>
          <w:lang w:val="en-US" w:eastAsia="zh-CN" w:bidi="ar-SA"/>
        </w:rPr>
        <w:t>区域</w:t>
      </w:r>
      <w:r>
        <w:rPr>
          <w:rFonts w:hint="default" w:ascii="Times New Roman" w:hAnsi="Times New Roman" w:eastAsia="仿宋_GB2312" w:cs="Times New Roman"/>
          <w:color w:val="000000"/>
          <w:spacing w:val="-6"/>
          <w:kern w:val="2"/>
          <w:sz w:val="32"/>
          <w:szCs w:val="32"/>
          <w:lang w:val="en-US" w:eastAsia="zh-CN" w:bidi="ar-SA"/>
        </w:rPr>
        <w:t>、类型，遵循省市高标准农田建设标准</w:t>
      </w:r>
      <w:r>
        <w:rPr>
          <w:rFonts w:hint="eastAsia" w:ascii="Times New Roman" w:hAnsi="Times New Roman" w:eastAsia="仿宋_GB2312" w:cs="Times New Roman"/>
          <w:color w:val="000000"/>
          <w:spacing w:val="-6"/>
          <w:kern w:val="2"/>
          <w:sz w:val="32"/>
          <w:szCs w:val="32"/>
          <w:lang w:val="en-US" w:eastAsia="zh-CN" w:bidi="ar-SA"/>
        </w:rPr>
        <w:t>，</w:t>
      </w:r>
      <w:r>
        <w:rPr>
          <w:rFonts w:hint="default" w:ascii="Times New Roman" w:hAnsi="Times New Roman" w:eastAsia="仿宋_GB2312" w:cs="Times New Roman"/>
          <w:color w:val="000000"/>
          <w:spacing w:val="-6"/>
          <w:kern w:val="2"/>
          <w:sz w:val="32"/>
          <w:szCs w:val="32"/>
          <w:lang w:val="en-US" w:eastAsia="zh-CN" w:bidi="ar-SA"/>
        </w:rPr>
        <w:t>在确保完成新增高标准农田建设任务的基础上，结合实际，对已建项目区进行改造提升。</w:t>
      </w:r>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68" w:name="_Toc9917"/>
      <w:bookmarkStart w:id="69" w:name="_Toc2944"/>
      <w:r>
        <w:rPr>
          <w:rFonts w:hint="eastAsia" w:ascii="黑体" w:hAnsi="黑体" w:eastAsia="黑体" w:cs="黑体"/>
          <w:color w:val="000000"/>
          <w:kern w:val="2"/>
          <w:sz w:val="32"/>
          <w:szCs w:val="32"/>
          <w:lang w:val="en-US" w:eastAsia="zh-CN" w:bidi="ar-SA"/>
        </w:rPr>
        <w:t>一、田块整治</w:t>
      </w:r>
      <w:bookmarkEnd w:id="68"/>
      <w:bookmarkEnd w:id="69"/>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70" w:name="_Toc334"/>
      <w:r>
        <w:rPr>
          <w:rFonts w:hint="eastAsia" w:ascii="楷体_GB2312" w:hAnsi="楷体_GB2312" w:eastAsia="楷体_GB2312" w:cs="楷体_GB2312"/>
          <w:color w:val="000000"/>
          <w:kern w:val="2"/>
          <w:sz w:val="32"/>
          <w:szCs w:val="32"/>
          <w:lang w:val="en-US" w:eastAsia="zh-CN" w:bidi="ar-SA"/>
        </w:rPr>
        <w:t>（一）建设内容</w:t>
      </w:r>
      <w:bookmarkEnd w:id="70"/>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充分考虑水土光热等资源环境条件因素，进一步优化高标准农田空间布局。根据不同区域地形地貌、作物种类、机械化作业水平和灌溉排水效率等因素，合理划分和适度归并田块，确定适宜的耕作长度与宽度，清除耕作层中粘盘层、砂砾层等障碍因素，推动农田地块小变大、窄变宽、坡改平。鼓励建设占用耕地耕作层剥离再利用，增加有效土层厚度。平原地区结合土地流转开展</w:t>
      </w:r>
      <w:r>
        <w:rPr>
          <w:rFonts w:hint="eastAsia" w:ascii="Times New Roman" w:hAnsi="Times New Roman" w:eastAsia="仿宋_GB2312" w:cs="Times New Roman"/>
          <w:color w:val="000000"/>
          <w:kern w:val="2"/>
          <w:sz w:val="32"/>
          <w:szCs w:val="32"/>
          <w:lang w:val="en-US" w:eastAsia="zh-CN" w:bidi="ar-SA"/>
        </w:rPr>
        <w:t>“小田并大田”</w:t>
      </w:r>
      <w:r>
        <w:rPr>
          <w:rFonts w:hint="default" w:ascii="Times New Roman" w:hAnsi="Times New Roman" w:eastAsia="仿宋_GB2312" w:cs="Times New Roman"/>
          <w:color w:val="000000"/>
          <w:kern w:val="2"/>
          <w:sz w:val="32"/>
          <w:szCs w:val="32"/>
          <w:lang w:val="en-US" w:eastAsia="zh-CN" w:bidi="ar-SA"/>
        </w:rPr>
        <w:t>，因地制宜提高单个田块面积，提升农业机械化生产效率，适应规模化生产需要；丘陵地区因地制宜修筑梯田，增强农田保土、保水、保肥能力，通过耕作层回填、表土保护等工程措施平整土地，合理调整农田地表坡降，改善农田耕作层，结合农田防护和水土保持工程，提高防御暴雨冲刷能力，提高灌溉排水适宜性。</w:t>
      </w:r>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71" w:name="_Toc25779"/>
      <w:r>
        <w:rPr>
          <w:rFonts w:hint="eastAsia" w:ascii="楷体_GB2312" w:hAnsi="楷体_GB2312" w:eastAsia="楷体_GB2312" w:cs="楷体_GB2312"/>
          <w:color w:val="000000"/>
          <w:kern w:val="2"/>
          <w:sz w:val="32"/>
          <w:szCs w:val="32"/>
          <w:lang w:val="en-US" w:eastAsia="zh-CN" w:bidi="ar-SA"/>
        </w:rPr>
        <w:t>（二）建设标准</w:t>
      </w:r>
      <w:bookmarkEnd w:id="71"/>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1．水田丘块平整度应在±3cm以内，水浇地丘块平整度应在±5cm以内，旱地丘块平整度应在±10cm以内。</w:t>
      </w:r>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2．农田有效土体厚度宜达到60cm以上，水田应保留犁底层，耕作层厚度宜在20cm以上，水浇地和旱地耕作层厚度宜在25cm以上。</w:t>
      </w:r>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3．地面坡度为5~25°的坡耕地，应建成高水平梯田（地），梯田硬坎宜采用土坎、石坎、土石混合坎或植物坎等。</w:t>
      </w:r>
    </w:p>
    <w:p>
      <w:pPr>
        <w:keepNext w:val="0"/>
        <w:keepLines w:val="0"/>
        <w:pageBreakBefore w:val="0"/>
        <w:widowControl w:val="0"/>
        <w:kinsoku/>
        <w:wordWrap/>
        <w:overflowPunct/>
        <w:topLinePunct w:val="0"/>
        <w:autoSpaceDE/>
        <w:autoSpaceDN/>
        <w:bidi w:val="0"/>
        <w:adjustRightInd/>
        <w:snapToGrid/>
        <w:spacing w:before="0" w:after="0" w:line="554" w:lineRule="exact"/>
        <w:ind w:left="0" w:firstLine="640" w:firstLineChars="200"/>
        <w:textAlignment w:val="auto"/>
        <w:rPr>
          <w:rFonts w:hint="default"/>
          <w:lang w:val="en-US" w:eastAsia="zh-CN"/>
        </w:rPr>
      </w:pPr>
      <w:r>
        <w:rPr>
          <w:rFonts w:hint="default" w:ascii="Times New Roman" w:hAnsi="Times New Roman" w:eastAsia="仿宋_GB2312" w:cs="Times New Roman"/>
          <w:color w:val="000000"/>
          <w:kern w:val="2"/>
          <w:sz w:val="32"/>
          <w:szCs w:val="32"/>
          <w:lang w:val="en-US" w:eastAsia="zh-CN" w:bidi="ar-SA"/>
        </w:rPr>
        <w:t>4．田间基础设施占地率一般不高于8%。</w:t>
      </w:r>
    </w:p>
    <w:tbl>
      <w:tblPr>
        <w:tblStyle w:val="2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blHeader/>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32"/>
                <w:szCs w:val="32"/>
                <w:lang w:val="en-US" w:eastAsia="zh-CN" w:bidi="ar-SA"/>
              </w:rPr>
              <w:t>专栏3</w:t>
            </w:r>
            <w:r>
              <w:rPr>
                <w:rFonts w:hint="eastAsia" w:ascii="Times New Roman" w:hAnsi="Times New Roman" w:eastAsia="仿宋_GB2312" w:cs="Times New Roman"/>
                <w:color w:val="000000"/>
                <w:kern w:val="2"/>
                <w:sz w:val="32"/>
                <w:szCs w:val="32"/>
                <w:lang w:val="en-US" w:eastAsia="zh-CN" w:bidi="ar-SA"/>
              </w:rPr>
              <w:t xml:space="preserve">  田块整治工程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6" w:hRule="atLeast"/>
          <w:tblHeader/>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2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加强种植结构设计针对性。</w:t>
            </w:r>
            <w:r>
              <w:rPr>
                <w:rFonts w:hint="eastAsia" w:ascii="Times New Roman" w:hAnsi="Times New Roman" w:eastAsia="仿宋_GB2312" w:cs="Times New Roman"/>
                <w:color w:val="000000"/>
                <w:kern w:val="2"/>
                <w:sz w:val="24"/>
                <w:szCs w:val="24"/>
                <w:lang w:val="en-US" w:eastAsia="zh-CN" w:bidi="ar-SA"/>
              </w:rPr>
              <w:t>根据地形地貌、种植制度、机械作业效率、灌排效率和气候区划、气象风险等因素，充分考虑不同作物生长与产业发展实际需求，对不同种植品种与产业结构进行针对性设计。</w:t>
            </w:r>
          </w:p>
          <w:p>
            <w:pPr>
              <w:keepNext w:val="0"/>
              <w:keepLines w:val="0"/>
              <w:pageBreakBefore w:val="0"/>
              <w:widowControl w:val="0"/>
              <w:kinsoku/>
              <w:wordWrap/>
              <w:overflowPunct/>
              <w:topLinePunct w:val="0"/>
              <w:autoSpaceDE/>
              <w:autoSpaceDN/>
              <w:bidi w:val="0"/>
              <w:adjustRightInd/>
              <w:snapToGrid/>
              <w:spacing w:before="0" w:after="0" w:line="32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提高农业机械化作业水平。</w:t>
            </w:r>
            <w:r>
              <w:rPr>
                <w:rFonts w:hint="eastAsia" w:ascii="Times New Roman" w:hAnsi="Times New Roman" w:eastAsia="仿宋_GB2312" w:cs="Times New Roman"/>
                <w:color w:val="000000"/>
                <w:kern w:val="2"/>
                <w:sz w:val="24"/>
                <w:szCs w:val="24"/>
                <w:lang w:val="en-US" w:eastAsia="zh-CN" w:bidi="ar-SA"/>
              </w:rPr>
              <w:t>实施“小田并大田”等田块调整，按照宜机化改造要求，统一田间道、下田通道、灌排布局、田块设置等建设标准，更好地满足机械化作业需求。</w:t>
            </w:r>
          </w:p>
          <w:p>
            <w:pPr>
              <w:keepNext w:val="0"/>
              <w:keepLines w:val="0"/>
              <w:pageBreakBefore w:val="0"/>
              <w:widowControl w:val="0"/>
              <w:kinsoku/>
              <w:wordWrap/>
              <w:overflowPunct/>
              <w:topLinePunct w:val="0"/>
              <w:autoSpaceDE/>
              <w:autoSpaceDN/>
              <w:bidi w:val="0"/>
              <w:adjustRightInd/>
              <w:snapToGrid/>
              <w:spacing w:before="0" w:after="0" w:line="32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提升建设内容设置前瞻性。</w:t>
            </w:r>
            <w:r>
              <w:rPr>
                <w:rFonts w:hint="eastAsia" w:ascii="Times New Roman" w:hAnsi="Times New Roman" w:eastAsia="仿宋_GB2312" w:cs="Times New Roman"/>
                <w:color w:val="000000"/>
                <w:kern w:val="2"/>
                <w:sz w:val="24"/>
                <w:szCs w:val="24"/>
                <w:lang w:val="en-US" w:eastAsia="zh-CN" w:bidi="ar-SA"/>
              </w:rPr>
              <w:t>充分考虑农业产业发展要求与农业机械化发展趋势，探索结合晒场等农业辅助设施，布置无人机停机坪、农机暂时停放场所等。</w:t>
            </w:r>
          </w:p>
          <w:p>
            <w:pPr>
              <w:keepNext w:val="0"/>
              <w:keepLines w:val="0"/>
              <w:pageBreakBefore w:val="0"/>
              <w:widowControl w:val="0"/>
              <w:kinsoku/>
              <w:wordWrap/>
              <w:overflowPunct/>
              <w:topLinePunct w:val="0"/>
              <w:autoSpaceDE/>
              <w:autoSpaceDN/>
              <w:bidi w:val="0"/>
              <w:adjustRightInd/>
              <w:snapToGrid/>
              <w:spacing w:before="0" w:after="0" w:line="32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探索区域推进示范。</w:t>
            </w:r>
            <w:r>
              <w:rPr>
                <w:rFonts w:hint="eastAsia" w:ascii="Times New Roman" w:hAnsi="Times New Roman" w:eastAsia="仿宋_GB2312" w:cs="Times New Roman"/>
                <w:color w:val="000000"/>
                <w:kern w:val="2"/>
                <w:sz w:val="24"/>
                <w:szCs w:val="24"/>
                <w:lang w:val="en-US" w:eastAsia="zh-CN" w:bidi="ar-SA"/>
              </w:rPr>
              <w:t>选择基础条件好，耕地相对集中连片，空间规划、产业发展、土地流转相对稳定地区，整体统筹推进高标准农田新建和改造提升工程，推动农田地块小变大、窄变宽、坡改平，通过整区域推进，集聚要素，创新机制，树立典型，总结经验，引领带动高标准农田建设高质量发展。</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72" w:name="_Toc582"/>
      <w:bookmarkStart w:id="73" w:name="_Toc493"/>
      <w:bookmarkStart w:id="74" w:name="_Toc45087414"/>
      <w:r>
        <w:rPr>
          <w:rFonts w:hint="eastAsia" w:ascii="黑体" w:hAnsi="黑体" w:eastAsia="黑体" w:cs="黑体"/>
          <w:color w:val="000000"/>
          <w:kern w:val="2"/>
          <w:sz w:val="32"/>
          <w:szCs w:val="32"/>
          <w:lang w:val="en-US" w:eastAsia="zh-CN" w:bidi="ar-SA"/>
        </w:rPr>
        <w:t>二、农田地力提升</w:t>
      </w:r>
      <w:bookmarkEnd w:id="72"/>
      <w:bookmarkEnd w:id="7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75" w:name="_Toc20410"/>
      <w:r>
        <w:rPr>
          <w:rFonts w:hint="eastAsia" w:ascii="楷体_GB2312" w:hAnsi="楷体_GB2312" w:eastAsia="楷体_GB2312" w:cs="楷体_GB2312"/>
          <w:color w:val="000000"/>
          <w:kern w:val="2"/>
          <w:sz w:val="32"/>
          <w:szCs w:val="32"/>
          <w:lang w:val="en-US" w:eastAsia="zh-CN" w:bidi="ar-SA"/>
        </w:rPr>
        <w:t>（一）建设内容</w:t>
      </w:r>
      <w:bookmarkEnd w:id="7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根据高标准农田建设区耕地质量状况，因地制宜地开展土壤培肥、新技术应用、测土配肥和酸化土壤治理，加快耕地质量提升。重点通过施用有机肥、畜禽粪肥就近还田、秸杆还田、绿肥翻压还田等措施，提升土壤有机质含量。鼓励推广水稻测深施肥、种肥同播、水肥一体化等新型施肥措施，示范推广缓释肥、水溶肥等新型肥料，改进施肥方式和用肥结构。通过深耕、挖深垫浅、完善灌排设施等逐步改良土壤不良构型、增加耕作层厚度，保证作物良好生长环境。实施测土配方施肥，定期监测土壤氮、磷、钾及中微量元素、有机质含量、土壤酸化等状况，适时开展因缺补缺、酸化治理，促进土壤营养平衡。选取pH值5.5以下酸化土壤农田，开展酸化土壤治理示范，合理施用农用石灰质物质、生物质炭等土壤调理剂进行土壤改良。土壤污染地区耕地原则上不宜纳入高标准农田建设范围。</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76" w:name="_Toc15492"/>
      <w:r>
        <w:rPr>
          <w:rFonts w:hint="eastAsia" w:ascii="楷体_GB2312" w:hAnsi="楷体_GB2312" w:eastAsia="楷体_GB2312" w:cs="楷体_GB2312"/>
          <w:color w:val="000000"/>
          <w:kern w:val="2"/>
          <w:sz w:val="32"/>
          <w:szCs w:val="32"/>
          <w:lang w:val="en-US" w:eastAsia="zh-CN" w:bidi="ar-SA"/>
        </w:rPr>
        <w:t>（二）建设标准</w:t>
      </w:r>
      <w:bookmarkEnd w:id="7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土壤pH值宜在5.5~7.5范围，土壤的有机质含量宜达到20g/kg以上，且土壤的有机质含量、土壤容重、阳离子交换量、有效磷、速效钾和微生物碳量等其他物理、化学和生物指标达到当地自然条件和种植水平的中上等水平。</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深耕深松作业深度，视障碍土层距地表深度和作物生长需要的耕层厚度确定。</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酸化土壤改良后土壤pH值范围宜为5.5~7.5。</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耕地质量等级宜达到4.5等以上，耕地质量等级评定应按照《耕地质量等级》（GB/T33469）规定执行，亩均粮食综合产能力争达到1000公斤。</w:t>
      </w:r>
    </w:p>
    <w:tbl>
      <w:tblPr>
        <w:tblStyle w:val="2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blHeader/>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32"/>
                <w:szCs w:val="32"/>
                <w:lang w:val="en-US" w:eastAsia="zh-CN" w:bidi="ar-SA"/>
              </w:rPr>
              <w:t xml:space="preserve">专栏4  </w:t>
            </w:r>
            <w:r>
              <w:rPr>
                <w:rFonts w:hint="eastAsia" w:ascii="Times New Roman" w:hAnsi="Times New Roman" w:eastAsia="仿宋_GB2312" w:cs="Times New Roman"/>
                <w:b w:val="0"/>
                <w:bCs w:val="0"/>
                <w:color w:val="000000"/>
                <w:kern w:val="2"/>
                <w:sz w:val="32"/>
                <w:szCs w:val="32"/>
                <w:lang w:val="en-US" w:eastAsia="zh-CN" w:bidi="ar-SA"/>
              </w:rPr>
              <w:t>农田地力提升工程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5" w:hRule="atLeast"/>
          <w:tblHeader/>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农田地力提升。</w:t>
            </w:r>
            <w:r>
              <w:rPr>
                <w:rFonts w:hint="eastAsia" w:ascii="Times New Roman" w:hAnsi="Times New Roman" w:eastAsia="仿宋_GB2312" w:cs="Times New Roman"/>
                <w:color w:val="000000"/>
                <w:kern w:val="2"/>
                <w:sz w:val="24"/>
                <w:szCs w:val="24"/>
                <w:lang w:val="en-US" w:eastAsia="zh-CN" w:bidi="ar-SA"/>
              </w:rPr>
              <w:t>加快集成农机农艺融合的高效施肥技术，推广农业绿色生产模式，积极推广测土配方施肥、有机肥替代、施肥新技术、肥料新品种、绿肥种植、作物科学轮作等措施，持续推进减肥增效工作，同时探索水肥一体化、土壤调理剂、生物菌剂等土壤改良新技术的运用，确保耕地地力持续提升。</w:t>
            </w:r>
          </w:p>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地力持续监测。</w:t>
            </w:r>
            <w:r>
              <w:rPr>
                <w:rFonts w:hint="eastAsia" w:ascii="Times New Roman" w:hAnsi="Times New Roman" w:eastAsia="仿宋_GB2312" w:cs="Times New Roman"/>
                <w:color w:val="000000"/>
                <w:kern w:val="2"/>
                <w:sz w:val="24"/>
                <w:szCs w:val="24"/>
                <w:lang w:val="en-US" w:eastAsia="zh-CN" w:bidi="ar-SA"/>
              </w:rPr>
              <w:t>按国家要求在高标准农田实施范围内构建耕地质量监测网络，持续监测高标准农田范围内地力变化情况，为保证耕地地力不下降采取相关治理措施，提供数据支撑。</w:t>
            </w:r>
          </w:p>
          <w:p>
            <w:pPr>
              <w:keepNext w:val="0"/>
              <w:keepLines w:val="0"/>
              <w:pageBreakBefore w:val="0"/>
              <w:widowControl w:val="0"/>
              <w:kinsoku/>
              <w:wordWrap/>
              <w:overflowPunct/>
              <w:topLinePunct w:val="0"/>
              <w:autoSpaceDE/>
              <w:autoSpaceDN/>
              <w:bidi w:val="0"/>
              <w:adjustRightInd/>
              <w:snapToGrid/>
              <w:spacing w:before="0" w:after="0" w:line="36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土壤酸化治理。</w:t>
            </w:r>
            <w:r>
              <w:rPr>
                <w:rFonts w:hint="eastAsia" w:ascii="Times New Roman" w:hAnsi="Times New Roman" w:eastAsia="仿宋_GB2312" w:cs="Times New Roman"/>
                <w:color w:val="000000"/>
                <w:kern w:val="2"/>
                <w:sz w:val="24"/>
                <w:szCs w:val="24"/>
                <w:lang w:val="en-US" w:eastAsia="zh-CN" w:bidi="ar-SA"/>
              </w:rPr>
              <w:t>选取pH值5.5以下酸性土壤农田，建设酸化土壤治理示范田。依据《石灰质改良酸化土壤技术规范》（NY∕T3443），合理施用农用石灰质物质、生物质炭等土壤调理剂，提升土壤pH值。</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77" w:name="_Toc17380"/>
      <w:bookmarkStart w:id="78" w:name="_Toc24485"/>
      <w:r>
        <w:rPr>
          <w:rFonts w:hint="eastAsia" w:ascii="黑体" w:hAnsi="黑体" w:eastAsia="黑体" w:cs="黑体"/>
          <w:color w:val="000000"/>
          <w:kern w:val="2"/>
          <w:sz w:val="32"/>
          <w:szCs w:val="32"/>
          <w:lang w:val="en-US" w:eastAsia="zh-CN" w:bidi="ar-SA"/>
        </w:rPr>
        <w:t>三、灌溉与排水</w:t>
      </w:r>
      <w:bookmarkEnd w:id="77"/>
      <w:bookmarkEnd w:id="7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79" w:name="_Toc16117"/>
      <w:r>
        <w:rPr>
          <w:rFonts w:hint="eastAsia" w:ascii="楷体_GB2312" w:hAnsi="楷体_GB2312" w:eastAsia="楷体_GB2312" w:cs="楷体_GB2312"/>
          <w:color w:val="000000"/>
          <w:kern w:val="2"/>
          <w:sz w:val="32"/>
          <w:szCs w:val="32"/>
          <w:lang w:val="en-US" w:eastAsia="zh-CN" w:bidi="ar-SA"/>
        </w:rPr>
        <w:t>（一）建设内容</w:t>
      </w:r>
      <w:bookmarkEnd w:id="7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按照灌溉与排水并重、骨干工程与田间工程并进的要求，科学规划建设田间灌排工程，加强田间灌排工程与灌区骨干工程的衔接配套，形成从水源到田间完整的灌排体系。倡导建设生态型灌排系统，保护农田生态环境。统筹大中型灌区改造与高标准农田建设，优先将大中型灌区有效灌溉区域建设成高标准农田，结合大中型灌区布局实现水源、输水、用水工程同步改造。按照大中小微并举、蓄引提调结合的原则，着力解决工程性缺水问题，因地制宜配套小型水源工程，严格控制开采深层地下水，禁止使用未经处理的污水进行灌溉，鼓励开展农田养分生态循环利用示范工程。因地制宜推广渠道防渗、管道输水灌溉和喷微灌等节水措施，结合农业综合水价改革工作开展必要的灌溉量水设施建设，鼓励推广示范水肥一体化技术及智能灌溉控制系统，提高农业灌溉保证率和用水效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80" w:name="_Toc30560"/>
      <w:r>
        <w:rPr>
          <w:rFonts w:hint="eastAsia" w:ascii="楷体_GB2312" w:hAnsi="楷体_GB2312" w:eastAsia="楷体_GB2312" w:cs="楷体_GB2312"/>
          <w:color w:val="000000"/>
          <w:kern w:val="2"/>
          <w:sz w:val="32"/>
          <w:szCs w:val="32"/>
          <w:lang w:val="en-US" w:eastAsia="zh-CN" w:bidi="ar-SA"/>
        </w:rPr>
        <w:t>（二）建设标准</w:t>
      </w:r>
      <w:bookmarkEnd w:id="8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水源利用应以地表水为主，灌溉水质应符合《农田灌溉水质标准》（GB5084）的要求。</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水资源条件较好地区灌溉设计保证率，水田应不低于85%，水浇地、旱地应不低于80%，水稻区应不低于90%。水资源条件一般地区灌溉设计保证率，水田应不低于80%，水浇地、旱地应不低于75%，水稻区应不低于85%。管道输水灌溉、微灌灌溉设计保证率应不低于90%。</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灌溉水利用系数不低于国家和行业相关标准。</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旱作区农田排水设计暴雨重现期宜采用5~10年，1~3d暴雨从作物受淹起1~3d排至田面无积水。水稻区农田排水设计暴雨重现期宜采用10年，1~3d暴雨3~5d排至作物耐淹水深。特色农产品种植区1d暴雨1d排除至田面无积水。</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5</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排水沟布置应与田间渠、路、林相协调，平原地区一般采用灌排兼用，鼓励采用灌排分离；丘陵山区可选用灌排兼用或灌排分离的形式。</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渠系建筑物应配套完整，满足灌溉与排水系统水位、流量、泥沙处理、施工、运行、管理的要求，满足生产、生活的需要，其使用年限应与灌溉与排水系统主体工程相一致，不得低于15年。</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7</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灌排工程应优先安排在大中型灌区范围内实施，结合灌区骨干工程完善小型农田水利工程建设：</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（1）塘坝（容积小于10万m</w:t>
      </w:r>
      <w:r>
        <w:rPr>
          <w:rFonts w:hint="default" w:ascii="Times New Roman" w:hAnsi="Times New Roman" w:eastAsia="仿宋_GB2312" w:cs="Times New Roman"/>
          <w:color w:val="000000"/>
          <w:kern w:val="2"/>
          <w:sz w:val="32"/>
          <w:szCs w:val="32"/>
          <w:vertAlign w:val="superscript"/>
          <w:lang w:val="en-US" w:eastAsia="zh-CN" w:bidi="ar-SA"/>
        </w:rPr>
        <w:t>3</w:t>
      </w:r>
      <w:r>
        <w:rPr>
          <w:rFonts w:hint="default" w:ascii="Times New Roman" w:hAnsi="Times New Roman" w:eastAsia="仿宋_GB2312" w:cs="Times New Roman"/>
          <w:color w:val="000000"/>
          <w:kern w:val="2"/>
          <w:sz w:val="32"/>
          <w:szCs w:val="32"/>
          <w:lang w:val="en-US" w:eastAsia="zh-CN" w:bidi="ar-SA"/>
        </w:rPr>
        <w:t>）、小型灌溉泵站（装机小于75kw）、引水堰闸（流量小于1m</w:t>
      </w:r>
      <w:r>
        <w:rPr>
          <w:rFonts w:hint="default" w:ascii="Times New Roman" w:hAnsi="Times New Roman" w:eastAsia="仿宋_GB2312" w:cs="Times New Roman"/>
          <w:color w:val="000000"/>
          <w:kern w:val="2"/>
          <w:sz w:val="32"/>
          <w:szCs w:val="32"/>
          <w:vertAlign w:val="superscript"/>
          <w:lang w:val="en-US" w:eastAsia="zh-CN" w:bidi="ar-SA"/>
        </w:rPr>
        <w:t>3</w:t>
      </w:r>
      <w:r>
        <w:rPr>
          <w:rFonts w:hint="default" w:ascii="Times New Roman" w:hAnsi="Times New Roman" w:eastAsia="仿宋_GB2312" w:cs="Times New Roman"/>
          <w:color w:val="000000"/>
          <w:kern w:val="2"/>
          <w:sz w:val="32"/>
          <w:szCs w:val="32"/>
          <w:lang w:val="en-US" w:eastAsia="zh-CN" w:bidi="ar-SA"/>
        </w:rPr>
        <w:t>/s）、灌溉机井、雨水集蓄利用工程（容积小于500m</w:t>
      </w:r>
      <w:r>
        <w:rPr>
          <w:rFonts w:hint="default" w:ascii="Times New Roman" w:hAnsi="Times New Roman" w:eastAsia="仿宋_GB2312" w:cs="Times New Roman"/>
          <w:color w:val="000000"/>
          <w:kern w:val="2"/>
          <w:sz w:val="32"/>
          <w:szCs w:val="32"/>
          <w:vertAlign w:val="superscript"/>
          <w:lang w:val="en-US" w:eastAsia="zh-CN" w:bidi="ar-SA"/>
        </w:rPr>
        <w:t>3</w:t>
      </w:r>
      <w:r>
        <w:rPr>
          <w:rFonts w:hint="default" w:ascii="Times New Roman" w:hAnsi="Times New Roman" w:eastAsia="仿宋_GB2312" w:cs="Times New Roman"/>
          <w:color w:val="000000"/>
          <w:kern w:val="2"/>
          <w:sz w:val="32"/>
          <w:szCs w:val="32"/>
          <w:lang w:val="en-US" w:eastAsia="zh-CN" w:bidi="ar-SA"/>
        </w:rPr>
        <w:t>）等小型水源工程。</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（2）大中型灌区末级渠系（流量小于1m</w:t>
      </w:r>
      <w:r>
        <w:rPr>
          <w:rFonts w:hint="default" w:ascii="Times New Roman" w:hAnsi="Times New Roman" w:eastAsia="仿宋_GB2312" w:cs="Times New Roman"/>
          <w:color w:val="000000"/>
          <w:kern w:val="2"/>
          <w:sz w:val="32"/>
          <w:szCs w:val="32"/>
          <w:vertAlign w:val="superscript"/>
          <w:lang w:val="en-US" w:eastAsia="zh-CN" w:bidi="ar-SA"/>
        </w:rPr>
        <w:t>3</w:t>
      </w:r>
      <w:r>
        <w:rPr>
          <w:rFonts w:hint="default" w:ascii="Times New Roman" w:hAnsi="Times New Roman" w:eastAsia="仿宋_GB2312" w:cs="Times New Roman"/>
          <w:color w:val="000000"/>
          <w:kern w:val="2"/>
          <w:sz w:val="32"/>
          <w:szCs w:val="32"/>
          <w:lang w:val="en-US" w:eastAsia="zh-CN" w:bidi="ar-SA"/>
        </w:rPr>
        <w:t>/s）、小型灌区渠系及配套建筑物、田间输水管道等。</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（3）小型排水泵站（装机容量小于75kw）、控制面积3万亩以下的排水沟道等。</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8</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地面灌溉工程建设应按《灌溉与排水工程设计标准》（GB50288）规定执行，喷灌工程建设应按《喷灌工程技术规范》（GB/T50085）规定执行，滴灌、微喷和小管出流等形式的微灌工程建设应按《微灌工程技术标准》（GB/T50485）规定执行，管道输水灌溉工程建设应按《管道输水灌溉工程技术规范》（GB/T20203）规定执行。</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81" w:name="_Toc31072"/>
      <w:bookmarkStart w:id="82" w:name="_Toc31162"/>
      <w:r>
        <w:rPr>
          <w:rFonts w:hint="eastAsia" w:ascii="黑体" w:hAnsi="黑体" w:eastAsia="黑体" w:cs="黑体"/>
          <w:color w:val="000000"/>
          <w:kern w:val="2"/>
          <w:sz w:val="32"/>
          <w:szCs w:val="32"/>
          <w:lang w:val="en-US" w:eastAsia="zh-CN" w:bidi="ar-SA"/>
        </w:rPr>
        <w:t>四、田间道路</w:t>
      </w:r>
      <w:bookmarkEnd w:id="81"/>
      <w:bookmarkEnd w:id="82"/>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83" w:name="_Toc9159"/>
      <w:r>
        <w:rPr>
          <w:rFonts w:hint="eastAsia" w:ascii="楷体_GB2312" w:hAnsi="楷体_GB2312" w:eastAsia="楷体_GB2312" w:cs="楷体_GB2312"/>
          <w:color w:val="000000"/>
          <w:kern w:val="2"/>
          <w:sz w:val="32"/>
          <w:szCs w:val="32"/>
          <w:lang w:val="en-US" w:eastAsia="zh-CN" w:bidi="ar-SA"/>
        </w:rPr>
        <w:t>（一）建设内容</w:t>
      </w:r>
      <w:bookmarkEnd w:id="8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按照</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有利生产、方便运输、兼顾生活</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的原则，根据区域生产作业需要和农业机械化要求，优化机耕路、生产路布局，消减功能重复田间路，整修田间破损道路，充分利用现有农村公路，因地制宜确定道路密度、宽度等要求。合理配套建设农机下田（地）坡道、桥涵、错车道和回车场等附属设施，提高农机作业便捷度，满足农机作业、农业物资运输等农业生产活动的要求。倡导建设生态型田间道路，因地制宜减少硬化路面及附属设施对生态的不利影响。</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84" w:name="_Toc13950"/>
      <w:r>
        <w:rPr>
          <w:rFonts w:hint="eastAsia" w:ascii="楷体_GB2312" w:hAnsi="楷体_GB2312" w:eastAsia="楷体_GB2312" w:cs="楷体_GB2312"/>
          <w:color w:val="000000"/>
          <w:kern w:val="2"/>
          <w:sz w:val="32"/>
          <w:szCs w:val="32"/>
          <w:lang w:val="en-US" w:eastAsia="zh-CN" w:bidi="ar-SA"/>
        </w:rPr>
        <w:t>（二）建设标准</w:t>
      </w:r>
      <w:bookmarkEnd w:id="8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田间道建设突出节约土地、适宜机械化的原则，与田、水、林、电、村规划相衔接，路线宜直而短，按作业区地形、水文地质及耕作方式进行布置，少占耕地，做到功能协调，密度合理，形成路网。</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田间道（机耕路）宽度宜为3~6m，生产路宽度一般不超过3m。在大型机械化作业区，农机交汇点路面宽度可适当放宽。</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田间道（机耕路）路面宜采用混凝土、沥青、碎石等材质，可因地制宜对部分主干路实施硬化措施。生产路路面宜采用素土、砂石等生态环保材料结构材质，暴雨冲刷严重地区可采用石板、混凝土等。</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平原区道路通达度为100%，丘陵区道路通达度不低于90%。</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5</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农机下田坡道、桥涵、错车道和末端掉头点等附属设施布置及规格形式应以提高农机作业便捷度为目标，要避免建设数量过多或规格过大导致占用耕地。要因地制宜合理布置安全警示牌、引导标识牌等道路交通安全设施，确保使用安全。</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85" w:name="_Toc7983"/>
      <w:bookmarkStart w:id="86" w:name="_Toc17652"/>
      <w:r>
        <w:rPr>
          <w:rFonts w:hint="eastAsia" w:ascii="黑体" w:hAnsi="黑体" w:eastAsia="黑体" w:cs="黑体"/>
          <w:color w:val="000000"/>
          <w:kern w:val="2"/>
          <w:sz w:val="32"/>
          <w:szCs w:val="32"/>
          <w:lang w:val="en-US" w:eastAsia="zh-CN" w:bidi="ar-SA"/>
        </w:rPr>
        <w:t>五、农田防护与生态环境保护</w:t>
      </w:r>
      <w:bookmarkEnd w:id="85"/>
      <w:bookmarkEnd w:id="8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87" w:name="_Toc18508"/>
      <w:r>
        <w:rPr>
          <w:rFonts w:hint="eastAsia" w:ascii="楷体_GB2312" w:hAnsi="楷体_GB2312" w:eastAsia="楷体_GB2312" w:cs="楷体_GB2312"/>
          <w:color w:val="000000"/>
          <w:kern w:val="2"/>
          <w:sz w:val="32"/>
          <w:szCs w:val="32"/>
          <w:lang w:val="en-US" w:eastAsia="zh-CN" w:bidi="ar-SA"/>
        </w:rPr>
        <w:t>（一）建设内容</w:t>
      </w:r>
      <w:bookmarkEnd w:id="8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推广生态型治理措施，加强农田防护与生态环境保护工程建设。根据因害设防、因地制宜的原则，对农田防护与生态环境保护工程进行合理布局，与田块、沟渠、道路等工程相结合，与村庄环境相协调，完善农田防护与生态环境保护体系。注重生态沟渠及地表径流集蓄与利用设施建设，在排渠中因地制宜推广生态沟渠系统建设，减少农田氮磷排放对环境的影响。根据防护需要，应在主要道路、沟、渠两侧适时、适地、适树设置农田防护林带。在水土流失易发地区，科学合理修筑岸坡防护、坡面防护等设施。坡耕地水土流失治理应采取工程措施、生物措施及耕作措施相结合的方法。积极推广绿色防控技术，持续改善农田生态环境。建设农田生态廊道，营造复合型、生态型农田林网，恢复田间生物群落和生态链，增强农田生物多样性。</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88" w:name="_Toc4696"/>
      <w:r>
        <w:rPr>
          <w:rFonts w:hint="eastAsia" w:ascii="楷体_GB2312" w:hAnsi="楷体_GB2312" w:eastAsia="楷体_GB2312" w:cs="楷体_GB2312"/>
          <w:color w:val="000000"/>
          <w:kern w:val="2"/>
          <w:sz w:val="32"/>
          <w:szCs w:val="32"/>
          <w:lang w:val="en-US" w:eastAsia="zh-CN" w:bidi="ar-SA"/>
        </w:rPr>
        <w:t>（二）建设标准</w:t>
      </w:r>
      <w:bookmarkEnd w:id="8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农田防护与生态环境保持工程应进行全面规划、综合治理，与田块、沟渠道路等工程相结合，与农村居民点景观建设相协调。</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依托山水林田路综合治理，加强农田防护林体系建设，实现农田防护林网格化，树种选择应优先选择乡土树种，林带长度、宽度、排数及株行距视实际情况结合树种和苗木规格确定，因地制宜，因害设防。农田防护林造林成活率应达到90%以上，三年后林木保存率应达到85%以上，林相整齐、结构合理。</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农田防洪标准应符合《防洪标准》（GB50201）规定。</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坡面防护应采用土堤、干砌石、浆砌石、石笼、混凝土、生态护岸等方式。岸坡防护工程应按《水土保持工程设计规范》（GB51018）规定执行。</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5</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坡面防护应合理布置护坡、截水沟、排洪沟、小型蓄水等工程，系统拦蓄和排泄坡面径流，集蓄雨水资源，形成配套完善的坡面和雨水集蓄利用体系。坡面防护工程应按《水土保持工程设计规范》（GB51018）规定执行。</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建设区内现有的小微水体应予保留，周围应有2m的自然植被缓冲带。</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7</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建设区内的林地、林木及具有独特自然特征的景观应予以保留。</w:t>
      </w:r>
    </w:p>
    <w:p>
      <w:pPr>
        <w:pStyle w:val="2"/>
        <w:rPr>
          <w:rFonts w:hint="default"/>
          <w:lang w:val="en-US" w:eastAsia="zh-CN"/>
        </w:rPr>
      </w:pPr>
    </w:p>
    <w:tbl>
      <w:tblPr>
        <w:tblStyle w:val="2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78" w:hRule="atLeast"/>
          <w:tblHeader/>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5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32"/>
                <w:szCs w:val="32"/>
                <w:lang w:val="en-US" w:eastAsia="zh-CN" w:bidi="ar-SA"/>
              </w:rPr>
              <w:t xml:space="preserve">专栏5  </w:t>
            </w:r>
            <w:r>
              <w:rPr>
                <w:rFonts w:hint="eastAsia" w:ascii="Times New Roman" w:hAnsi="Times New Roman" w:eastAsia="仿宋_GB2312" w:cs="Times New Roman"/>
                <w:b w:val="0"/>
                <w:bCs w:val="0"/>
                <w:color w:val="000000"/>
                <w:kern w:val="2"/>
                <w:sz w:val="32"/>
                <w:szCs w:val="32"/>
                <w:lang w:val="en-US" w:eastAsia="zh-CN" w:bidi="ar-SA"/>
              </w:rPr>
              <w:t>农田防护与生态环境保护工程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7769" w:hRule="atLeast"/>
          <w:tblHeader/>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2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绿色农田建设示范“343”工程。</w:t>
            </w:r>
            <w:r>
              <w:rPr>
                <w:rFonts w:hint="eastAsia" w:ascii="Times New Roman" w:hAnsi="Times New Roman" w:eastAsia="仿宋_GB2312" w:cs="Times New Roman"/>
                <w:color w:val="000000"/>
                <w:kern w:val="2"/>
                <w:sz w:val="24"/>
                <w:szCs w:val="24"/>
                <w:lang w:val="en-US" w:eastAsia="zh-CN" w:bidi="ar-SA"/>
              </w:rPr>
              <w:t>以提升农业绿色发展为主线，通过实施农田生态基础设施提升工程和农田生物多样性恢复工程，积极推进绿色农田建设；运用绿色产业技术、水生态系统构建与水质净化技术和农田生物多样性恢复技术，探索高标准农田范围内的高效生态循环种养模式，因地制宜构建农田绿色水生态系统和生物多样性，改善农田生态环境，增强农田防灾减灾能力，着力打造一批资源节约、环境友好、生态保育型的绿色农田示范区。</w:t>
            </w:r>
          </w:p>
          <w:p>
            <w:pPr>
              <w:keepNext w:val="0"/>
              <w:keepLines w:val="0"/>
              <w:pageBreakBefore w:val="0"/>
              <w:widowControl w:val="0"/>
              <w:kinsoku/>
              <w:wordWrap/>
              <w:overflowPunct/>
              <w:topLinePunct w:val="0"/>
              <w:autoSpaceDE/>
              <w:autoSpaceDN/>
              <w:bidi w:val="0"/>
              <w:adjustRightInd/>
              <w:snapToGrid/>
              <w:spacing w:before="0" w:after="0" w:line="32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农田养分生态循环利用示范工程。</w:t>
            </w:r>
            <w:r>
              <w:rPr>
                <w:rFonts w:hint="eastAsia" w:ascii="Times New Roman" w:hAnsi="Times New Roman" w:eastAsia="仿宋_GB2312" w:cs="Times New Roman"/>
                <w:color w:val="000000"/>
                <w:kern w:val="2"/>
                <w:sz w:val="24"/>
                <w:szCs w:val="24"/>
                <w:lang w:val="en-US" w:eastAsia="zh-CN" w:bidi="ar-SA"/>
              </w:rPr>
              <w:t>鼓励开展农田养分生态循环利用示范工程，一是调整农业产业结构，实施旱作水作轮休轮耕，提高土壤容量和缓冲能力；二是发展智慧化灌溉体系，利用物联网、大数据等现代化信息技术，控制入田径流量，通过对水源输送、分配、灌溉和耗散各环节的合理、精准控制，实现灌溉系统全过程智慧化控制，最大限度地减少过剩水的输入，可以提高水资源的利用效率；三是按照农田“退水不直排，养分再利用”的循环理念，探索实施高标准农田生态化灌排系统建设项目，通过在农田首端设置沼液池，充分利用外来沼液，减少化肥使用，在农田两端建设退水收集调蓄池和回用管路，形成退水循环利用体系，实现肥水不外流；四是鼓励开展农田生态循环系统工程示范，充分利用现有排灌沟渠改造或新建生态排灌沟渠，构建生态沟渠塘及田间养分储蓄调控循环利用系统。</w:t>
            </w:r>
          </w:p>
          <w:p>
            <w:pPr>
              <w:keepNext w:val="0"/>
              <w:keepLines w:val="0"/>
              <w:pageBreakBefore w:val="0"/>
              <w:widowControl w:val="0"/>
              <w:kinsoku/>
              <w:wordWrap/>
              <w:overflowPunct/>
              <w:topLinePunct w:val="0"/>
              <w:autoSpaceDE/>
              <w:autoSpaceDN/>
              <w:bidi w:val="0"/>
              <w:adjustRightInd/>
              <w:snapToGrid/>
              <w:spacing w:before="0" w:after="0" w:line="328" w:lineRule="exact"/>
              <w:ind w:left="0" w:leftChars="0" w:firstLine="481"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农田病虫害绿色防控。</w:t>
            </w:r>
            <w:r>
              <w:rPr>
                <w:rFonts w:hint="eastAsia" w:ascii="Times New Roman" w:hAnsi="Times New Roman" w:eastAsia="仿宋_GB2312" w:cs="Times New Roman"/>
                <w:color w:val="000000"/>
                <w:kern w:val="2"/>
                <w:sz w:val="24"/>
                <w:szCs w:val="24"/>
                <w:lang w:val="en-US" w:eastAsia="zh-CN" w:bidi="ar-SA"/>
              </w:rPr>
              <w:t>利用绿色防控技术措施防治农田病虫害。因地制宜，选用翻耕灌水灭蛹等农业防治、人工释放天敌等生物防治，杀虫灯、粘虫板等物理防治、性信息素等绿色防控技术措施，创建有利于作物生长、天敌保护利用而不利于病虫害发生的田间环境。优先应用生物农药、高效低毒低残留农药。选用植保无人机、自走式喷杆喷雾机等现代高效植保机械，依托专业化服务组织开展统防统治，提高农药利用率、病虫害防治效果，减少农药使用量，保护农田生态环境，实现农业绿色可持续发展。</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89" w:name="_Toc17289"/>
      <w:bookmarkStart w:id="90" w:name="_Toc22331"/>
      <w:r>
        <w:rPr>
          <w:rFonts w:hint="eastAsia" w:ascii="黑体" w:hAnsi="黑体" w:eastAsia="黑体" w:cs="黑体"/>
          <w:color w:val="000000"/>
          <w:kern w:val="2"/>
          <w:sz w:val="32"/>
          <w:szCs w:val="32"/>
          <w:lang w:val="en-US" w:eastAsia="zh-CN" w:bidi="ar-SA"/>
        </w:rPr>
        <w:t>六、农田输配电</w:t>
      </w:r>
      <w:bookmarkEnd w:id="89"/>
      <w:bookmarkEnd w:id="9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91" w:name="_Toc1518"/>
      <w:r>
        <w:rPr>
          <w:rFonts w:hint="eastAsia" w:ascii="楷体_GB2312" w:hAnsi="楷体_GB2312" w:eastAsia="楷体_GB2312" w:cs="楷体_GB2312"/>
          <w:color w:val="000000"/>
          <w:kern w:val="2"/>
          <w:sz w:val="32"/>
          <w:szCs w:val="32"/>
          <w:lang w:val="en-US" w:eastAsia="zh-CN" w:bidi="ar-SA"/>
        </w:rPr>
        <w:t>（一）建设内容</w:t>
      </w:r>
      <w:bookmarkEnd w:id="9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对适宜电力灌排和信息化的农田，铺设高压和低压输电线路，配套建设变配电设施，为泵站、机井以及信息化工程等提供电力保障。重点建设用于农业生产的10千伏以下的输配线路、变压器、配电箱等，禁止利用高标准农田资金建设居民生活用电输配电设施。根据农田现代化建设和管理要求，合理布设弱电设施，为泵站、河道提水、农田排涝、喷微灌、水肥一体化以及信息化工程等提供电力保障。</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92" w:name="_Toc3699"/>
      <w:r>
        <w:rPr>
          <w:rFonts w:hint="eastAsia" w:ascii="楷体_GB2312" w:hAnsi="楷体_GB2312" w:eastAsia="楷体_GB2312" w:cs="楷体_GB2312"/>
          <w:color w:val="000000"/>
          <w:kern w:val="2"/>
          <w:sz w:val="32"/>
          <w:szCs w:val="32"/>
          <w:lang w:val="en-US" w:eastAsia="zh-CN" w:bidi="ar-SA"/>
        </w:rPr>
        <w:t>（二）建设标准</w:t>
      </w:r>
      <w:bookmarkEnd w:id="92"/>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高标准农田输配电设施布设应符合电网建设总体规划且与田间道、灌溉排水、监测等工程相结合。建成后，实现农网、泵站、物联网、自动化水肥应用等供电设施完善，电力系统安装与运行符合相关标准，用电质量和安全水平得到提高。</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输电线路、变压器及弱电等设施完善，电力系统安装与运行符合相关标准，用电质量和安全水平得到提高。</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农田输配电工程建设应按《农村电力网规划设计导则》（DL/T5118）规定执行。</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spacing w:val="-6"/>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根据高标准农田建设现代化、信息化的建设和管理要求，</w:t>
      </w:r>
      <w:r>
        <w:rPr>
          <w:rFonts w:hint="default" w:ascii="Times New Roman" w:hAnsi="Times New Roman" w:eastAsia="仿宋_GB2312" w:cs="Times New Roman"/>
          <w:color w:val="000000"/>
          <w:spacing w:val="-6"/>
          <w:kern w:val="2"/>
          <w:sz w:val="32"/>
          <w:szCs w:val="32"/>
          <w:lang w:val="en-US" w:eastAsia="zh-CN" w:bidi="ar-SA"/>
        </w:rPr>
        <w:t>可合理布设弱电工程。弱电工程的安装运行应符合相关标准要求。</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93" w:name="_Toc29579"/>
      <w:bookmarkStart w:id="94" w:name="_Toc20729"/>
      <w:r>
        <w:rPr>
          <w:rFonts w:hint="eastAsia" w:ascii="黑体" w:hAnsi="黑体" w:eastAsia="黑体" w:cs="黑体"/>
          <w:color w:val="000000"/>
          <w:kern w:val="2"/>
          <w:sz w:val="32"/>
          <w:szCs w:val="32"/>
          <w:lang w:val="en-US" w:eastAsia="zh-CN" w:bidi="ar-SA"/>
        </w:rPr>
        <w:t>七、科技服务</w:t>
      </w:r>
      <w:bookmarkEnd w:id="93"/>
      <w:bookmarkEnd w:id="9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95" w:name="_Toc26451"/>
      <w:r>
        <w:rPr>
          <w:rFonts w:hint="eastAsia" w:ascii="楷体_GB2312" w:hAnsi="楷体_GB2312" w:eastAsia="楷体_GB2312" w:cs="楷体_GB2312"/>
          <w:color w:val="000000"/>
          <w:kern w:val="2"/>
          <w:sz w:val="32"/>
          <w:szCs w:val="32"/>
          <w:lang w:val="en-US" w:eastAsia="zh-CN" w:bidi="ar-SA"/>
        </w:rPr>
        <w:t>（一）建设内容</w:t>
      </w:r>
      <w:bookmarkEnd w:id="9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推广免耕、秸秆还田、氮肥减施、间歇灌溉及稻田种养等农艺措施，增加稻田农艺的固碳减排效应。跟踪监测耕地质量变化，建立高标准农田耕地质量长期定位监测网点，及时发现耕地生产障碍因子与设施损毁情况，开展有针对性的培肥改良、治理修复、设施维护。推广应用高效节水灌溉、水肥一体化灌溉、化肥农药定额制施用等技术措施，保护和持续提升耕地质量。推进数字农业、良种良法、科学施肥、病虫害综合防治等农业科技应用，科学合理利用高标准农田。探索在高标准农田建设与产学研融合发展，在高标准农田范围内开展农业新品种、新技术、新工艺示范。</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96" w:name="_Toc29683"/>
      <w:r>
        <w:rPr>
          <w:rFonts w:hint="eastAsia" w:ascii="楷体_GB2312" w:hAnsi="楷体_GB2312" w:eastAsia="楷体_GB2312" w:cs="楷体_GB2312"/>
          <w:color w:val="000000"/>
          <w:kern w:val="2"/>
          <w:sz w:val="32"/>
          <w:szCs w:val="32"/>
          <w:lang w:val="en-US" w:eastAsia="zh-CN" w:bidi="ar-SA"/>
        </w:rPr>
        <w:t>（二）建设标准</w:t>
      </w:r>
      <w:bookmarkEnd w:id="9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spacing w:val="-6"/>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w:t>
      </w:r>
      <w:r>
        <w:rPr>
          <w:rFonts w:hint="eastAsia" w:ascii="Times New Roman" w:hAnsi="Times New Roman" w:eastAsia="仿宋_GB2312" w:cs="Times New Roman"/>
          <w:color w:val="000000"/>
          <w:spacing w:val="-6"/>
          <w:kern w:val="2"/>
          <w:sz w:val="32"/>
          <w:szCs w:val="32"/>
          <w:lang w:val="en-US" w:eastAsia="zh-CN" w:bidi="ar-SA"/>
        </w:rPr>
        <w:t>.</w:t>
      </w:r>
      <w:r>
        <w:rPr>
          <w:rFonts w:hint="default" w:ascii="Times New Roman" w:hAnsi="Times New Roman" w:eastAsia="仿宋_GB2312" w:cs="Times New Roman"/>
          <w:color w:val="000000"/>
          <w:spacing w:val="-6"/>
          <w:kern w:val="2"/>
          <w:sz w:val="32"/>
          <w:szCs w:val="32"/>
          <w:lang w:val="en-US" w:eastAsia="zh-CN" w:bidi="ar-SA"/>
        </w:rPr>
        <w:t>实现系统、全面、全程、实时地高标准农田建设数字化管理。</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田间定位监测点布设密度为每3.5万亩左右设置1个监测点，监测点布设应符合《耕地质量长期定位监测点布设规范》（NY/T3701）。耕地质量监测、墒情监测场（站）应远离居民点，病虫监测场（站）应远离夜间光源；耕地质量监测、墒情监测、病虫监测等农田监测场（站）应配备必要的仪器和设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机械化耕种收综合作业水平：平原区应达到85%以上，山地丘陵区应达到75%以上。</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优良品种覆盖率应达到95%以上。</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5</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测土配方施肥技术覆盖率应达到95%以上，肥料利用率有效提高。</w: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tbl>
      <w:tblPr>
        <w:tblStyle w:val="2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73" w:hRule="atLeast"/>
          <w:tblHeader/>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5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b/>
                <w:bCs/>
                <w:color w:val="000000"/>
                <w:kern w:val="2"/>
                <w:sz w:val="32"/>
                <w:szCs w:val="32"/>
                <w:lang w:val="en-US" w:eastAsia="zh-CN" w:bidi="ar-SA"/>
              </w:rPr>
              <w:t xml:space="preserve">专栏6 </w:t>
            </w:r>
            <w:r>
              <w:rPr>
                <w:rFonts w:hint="eastAsia" w:ascii="Times New Roman" w:hAnsi="Times New Roman" w:eastAsia="仿宋_GB2312" w:cs="Times New Roman"/>
                <w:color w:val="000000"/>
                <w:kern w:val="2"/>
                <w:sz w:val="32"/>
                <w:szCs w:val="32"/>
                <w:lang w:val="en-US" w:eastAsia="zh-CN" w:bidi="ar-SA"/>
              </w:rPr>
              <w:t xml:space="preserve"> 农田科技服务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2994" w:hRule="atLeast"/>
          <w:tblHeader/>
          <w:jc w:val="center"/>
        </w:trPr>
        <w:tc>
          <w:tcPr>
            <w:tcW w:w="5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48" w:lineRule="exact"/>
              <w:ind w:left="0" w:leftChars="0" w:firstLine="480"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着力推进数字技术。结合新基建内容，重点推进5G、物联网、大数据、智能控制、北斗等数字技术在农田建设中的应用，提高全要素生产效率，结合耕地质量综合监测点开展实时数据采集，加强耕地质量管理水平与方式。</w:t>
            </w:r>
          </w:p>
          <w:p>
            <w:pPr>
              <w:keepNext w:val="0"/>
              <w:keepLines w:val="0"/>
              <w:pageBreakBefore w:val="0"/>
              <w:widowControl w:val="0"/>
              <w:kinsoku/>
              <w:wordWrap/>
              <w:overflowPunct/>
              <w:topLinePunct w:val="0"/>
              <w:autoSpaceDE/>
              <w:autoSpaceDN/>
              <w:bidi w:val="0"/>
              <w:adjustRightInd/>
              <w:snapToGrid/>
              <w:spacing w:before="0" w:after="0" w:line="348" w:lineRule="exact"/>
              <w:ind w:left="0" w:leftChars="0" w:firstLine="480" w:firstLineChars="200"/>
              <w:jc w:val="both"/>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提升智能化生产水平。不断探索在高标准农田范围内实施田间小气候监测、墒情监测、作物监测（长势监测、作物识别、估产系统）、测土配方施肥数字化（数字化测土、土壤数字平台、数字配肥）、虫情监测自动化、水肥一体化智能灌溉系统等智能化技术的运用，探索实行农田灌溉排水等田间智能作业，提升生产精准化、智慧化水平，提升高标准农田建设内涵。</w:t>
            </w: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97" w:name="_Toc25276"/>
      <w:r>
        <w:rPr>
          <w:rFonts w:hint="eastAsia" w:ascii="楷体_GB2312" w:hAnsi="楷体_GB2312" w:eastAsia="楷体_GB2312" w:cs="楷体_GB2312"/>
          <w:color w:val="000000"/>
          <w:kern w:val="2"/>
          <w:sz w:val="32"/>
          <w:szCs w:val="32"/>
          <w:lang w:val="en-US" w:eastAsia="zh-CN" w:bidi="ar-SA"/>
        </w:rPr>
        <w:t>（二）建设标准</w:t>
      </w:r>
      <w:bookmarkEnd w:id="9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各项工程设施使用年限应符合相关专业标准规定，整体工程使用年限一般</w:t>
      </w:r>
      <w:r>
        <w:rPr>
          <w:rFonts w:hint="eastAsia" w:eastAsia="仿宋_GB2312" w:cs="Times New Roman"/>
          <w:color w:val="000000"/>
          <w:kern w:val="2"/>
          <w:sz w:val="32"/>
          <w:szCs w:val="32"/>
          <w:lang w:val="en-US" w:eastAsia="zh-CN" w:bidi="ar-SA"/>
        </w:rPr>
        <w:t>为10—</w:t>
      </w:r>
      <w:r>
        <w:rPr>
          <w:rFonts w:hint="default" w:ascii="Times New Roman" w:hAnsi="Times New Roman" w:eastAsia="仿宋_GB2312" w:cs="Times New Roman"/>
          <w:color w:val="000000"/>
          <w:kern w:val="2"/>
          <w:sz w:val="32"/>
          <w:szCs w:val="32"/>
          <w:lang w:val="en-US" w:eastAsia="zh-CN" w:bidi="ar-SA"/>
        </w:rPr>
        <w:t>15年。</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全国农田建设综合监测监管平台上图入库率达到100%。</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建成的高标准农田划为永久基本农田，实行特殊保护，确保高标准农田数量不减少、质量不降低。</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建成的高标准农田应有相应的工程管护措施，包括：建立政府主导，农村集体经济组织、农户、专业管护人员以及专业协会等共同参与的管护体系；按照</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谁受益、谁管护</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的原则，明确管护主体、管护责任和管护义务；加强地质灾害、土壤污染、地表沉陷等灾害防治的新技术应用，提高高标准农田的防灾减灾能力。</w:t>
      </w:r>
      <w:bookmarkStart w:id="98" w:name="_Toc3415"/>
      <w:bookmarkStart w:id="99" w:name="_Toc1259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八、管护利用</w:t>
      </w:r>
      <w:bookmarkEnd w:id="98"/>
      <w:bookmarkEnd w:id="9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highlight w:val="none"/>
          <w:lang w:val="en-US" w:eastAsia="zh-CN" w:bidi="ar-SA"/>
        </w:rPr>
      </w:pPr>
      <w:bookmarkStart w:id="100" w:name="_Toc18899"/>
      <w:r>
        <w:rPr>
          <w:rFonts w:hint="eastAsia" w:ascii="楷体_GB2312" w:hAnsi="楷体_GB2312" w:eastAsia="楷体_GB2312" w:cs="楷体_GB2312"/>
          <w:color w:val="000000"/>
          <w:kern w:val="2"/>
          <w:sz w:val="32"/>
          <w:szCs w:val="32"/>
          <w:highlight w:val="none"/>
          <w:lang w:val="en-US" w:eastAsia="zh-CN" w:bidi="ar-SA"/>
        </w:rPr>
        <w:t>（一）建设内容</w:t>
      </w:r>
      <w:bookmarkEnd w:id="10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全面开展高标准农田建设项</w:t>
      </w:r>
      <w:r>
        <w:rPr>
          <w:rFonts w:hint="default" w:ascii="Times New Roman" w:hAnsi="Times New Roman" w:eastAsia="仿宋_GB2312" w:cs="Times New Roman"/>
          <w:color w:val="000000"/>
          <w:kern w:val="2"/>
          <w:sz w:val="32"/>
          <w:szCs w:val="32"/>
          <w:lang w:val="en-US" w:eastAsia="zh-CN" w:bidi="ar-SA"/>
        </w:rPr>
        <w:t>目信息统一上图入库，实现有据可查、全程监控、精准管理、资源共享。深入推进农业水价综合改革，落实高标准农田管护主体和责任，引导新型农业经营主体参与高标准农田设施运行管护，健全管护制度，落实管护资金。探索建立管护奖补机制，引导和激励专业大户、家庭农场、农民合作社、农民用水合作组织、涉农企业和村集体等参与高标准农田设施的运行管护。加强管护资金使用监管，研究制定高标准农田管护投入成本标准体系，对管护资金实施全过程绩效管理。及时修复损毁工程，确保建成的高标准农田持续发挥效益。对建成的高标准农田，要划为永久基本农田，实行特殊保护，确保高标准农田数量不减少、质量不降低。探索以高标准农田为基础，形成持续投入机制，提升高标准农田建设内涵与使用寿命。</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bookmarkStart w:id="101" w:name="_Toc15336"/>
      <w:bookmarkStart w:id="102" w:name="_Toc1831"/>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第四章  建设分区和建设任务</w:t>
      </w:r>
      <w:bookmarkEnd w:id="101"/>
      <w:bookmarkEnd w:id="102"/>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03" w:name="_Toc6585"/>
      <w:bookmarkStart w:id="104" w:name="_Toc14576"/>
      <w:r>
        <w:rPr>
          <w:rFonts w:hint="eastAsia" w:ascii="黑体" w:hAnsi="黑体" w:eastAsia="黑体" w:cs="黑体"/>
          <w:color w:val="000000"/>
          <w:kern w:val="2"/>
          <w:sz w:val="32"/>
          <w:szCs w:val="32"/>
          <w:lang w:val="en-US" w:eastAsia="zh-CN" w:bidi="ar-SA"/>
        </w:rPr>
        <w:t>一、建设分区与建设重点</w:t>
      </w:r>
      <w:bookmarkEnd w:id="103"/>
      <w:bookmarkEnd w:id="10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eastAsia="仿宋_GB2312" w:cs="Times New Roman"/>
          <w:color w:val="000000"/>
          <w:kern w:val="2"/>
          <w:sz w:val="32"/>
          <w:szCs w:val="32"/>
          <w:lang w:val="en-US" w:eastAsia="zh-CN" w:bidi="ar-SA"/>
        </w:rPr>
        <w:t>以</w:t>
      </w:r>
      <w:r>
        <w:rPr>
          <w:rFonts w:hint="eastAsia" w:ascii="Times New Roman" w:hAnsi="Times New Roman" w:eastAsia="仿宋_GB2312" w:cs="Times New Roman"/>
          <w:color w:val="000000"/>
          <w:kern w:val="2"/>
          <w:sz w:val="32"/>
          <w:szCs w:val="32"/>
          <w:lang w:val="en-US" w:eastAsia="zh-CN" w:bidi="ar-SA"/>
        </w:rPr>
        <w:t>江夏区行政</w:t>
      </w:r>
      <w:r>
        <w:rPr>
          <w:rFonts w:hint="eastAsia" w:eastAsia="仿宋_GB2312" w:cs="Times New Roman"/>
          <w:color w:val="000000"/>
          <w:kern w:val="2"/>
          <w:sz w:val="32"/>
          <w:szCs w:val="32"/>
          <w:lang w:val="en-US" w:eastAsia="zh-CN" w:bidi="ar-SA"/>
        </w:rPr>
        <w:t>范围内</w:t>
      </w:r>
      <w:r>
        <w:rPr>
          <w:rFonts w:hint="eastAsia" w:ascii="Times New Roman" w:hAnsi="Times New Roman" w:eastAsia="仿宋_GB2312" w:cs="Times New Roman"/>
          <w:color w:val="000000"/>
          <w:kern w:val="2"/>
          <w:sz w:val="32"/>
          <w:szCs w:val="32"/>
          <w:lang w:val="en-US" w:eastAsia="zh-CN" w:bidi="ar-SA"/>
        </w:rPr>
        <w:t>各街道永久基本农田、粮食生产功能区为重点，</w:t>
      </w:r>
      <w:r>
        <w:rPr>
          <w:rFonts w:hint="eastAsia" w:eastAsia="仿宋_GB2312" w:cs="Times New Roman"/>
          <w:color w:val="000000"/>
          <w:kern w:val="2"/>
          <w:sz w:val="32"/>
          <w:szCs w:val="32"/>
          <w:lang w:val="en-US" w:eastAsia="zh-CN" w:bidi="ar-SA"/>
        </w:rPr>
        <w:t>通过</w:t>
      </w:r>
      <w:r>
        <w:rPr>
          <w:rFonts w:hint="eastAsia" w:ascii="Times New Roman" w:hAnsi="Times New Roman" w:eastAsia="仿宋_GB2312" w:cs="Times New Roman"/>
          <w:color w:val="000000"/>
          <w:kern w:val="2"/>
          <w:sz w:val="32"/>
          <w:szCs w:val="32"/>
          <w:lang w:val="en-US" w:eastAsia="zh-CN" w:bidi="ar-SA"/>
        </w:rPr>
        <w:t>整流域、整灌区、整街道集中连片推进方式，集中力量建设高标准农田。新建项目区选择耕地相对集中，土壤适合农作物生产，无潜在土壤污染和地质灾害，区域外有相对完善、能直接为项目区提供保障的基础设施。改造提升项目区优先选择已建高标准农田中建成年份较早、投入较低、建设标准不高的区域，按照“缺什么、补什么”的原则实施改造提升。原则上不得在水资源贫乏区域，水土流失易发区、沙化区等生态脆弱区域，历史遗留的挖损、塌陷、压占等造成土地严重损毁且难以恢复的区域，安全利用类耕地，易受自然灾害损毁的区域，内陆滩涂等区域开展高标准农田建设。禁止在严格管控类耕地，生态保护红线内区域，退耕还林区，河流、湖泊、水库水面及其保护范围等区域开展高标准农田建设，防止破坏生态环境。项目实施范围与江夏区“三区三线”划定成果及国土空间规划成果进行衔接，原则上不得在城镇开发边界、生态保护红线内开展高标准农田建设。</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依据区域气候特点、地形地貌、水土资源匹配、土地利用条件、农业耕作制度等因素，按照自然资源禀赋与经济条件相对一致、生产障碍因素与破解途径相对一致、粮食作物生产与农业区划相对一致、地理位置相连与街道行政区划相对完整的原则，围绕江夏区现代都市农业发展主线，将江夏区高标准农田建设划分为西部农业标准化生产示范区、中部现代都市农业示范区、东部休闲农业体验区3个类型区。</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05" w:name="_Toc9225"/>
      <w:r>
        <w:rPr>
          <w:rFonts w:hint="eastAsia" w:ascii="楷体_GB2312" w:hAnsi="楷体_GB2312" w:eastAsia="楷体_GB2312" w:cs="楷体_GB2312"/>
          <w:color w:val="000000"/>
          <w:kern w:val="2"/>
          <w:sz w:val="32"/>
          <w:szCs w:val="32"/>
          <w:lang w:val="en-US" w:eastAsia="zh-CN" w:bidi="ar-SA"/>
        </w:rPr>
        <w:t>（一）西部农业标准化生产示范区</w:t>
      </w:r>
      <w:bookmarkEnd w:id="10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区域范围：</w:t>
      </w:r>
      <w:r>
        <w:rPr>
          <w:rFonts w:hint="eastAsia" w:ascii="Times New Roman" w:hAnsi="Times New Roman" w:eastAsia="仿宋_GB2312" w:cs="Times New Roman"/>
          <w:color w:val="000000"/>
          <w:kern w:val="2"/>
          <w:sz w:val="32"/>
          <w:szCs w:val="32"/>
          <w:lang w:val="en-US" w:eastAsia="zh-CN" w:bidi="ar-SA"/>
        </w:rPr>
        <w:t>以“金水河”为纵轴，涉及金口、金水、法泗等街道。</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区域特征：</w:t>
      </w:r>
      <w:r>
        <w:rPr>
          <w:rFonts w:hint="eastAsia" w:ascii="Times New Roman" w:hAnsi="Times New Roman" w:eastAsia="仿宋_GB2312" w:cs="Times New Roman"/>
          <w:color w:val="000000"/>
          <w:kern w:val="2"/>
          <w:sz w:val="32"/>
          <w:szCs w:val="32"/>
          <w:lang w:val="en-US" w:eastAsia="zh-CN" w:bidi="ar-SA"/>
        </w:rPr>
        <w:t>该区地势平坦，光照充足，地域广阔，是我区水稻主产区，土地肥沃，土层深厚，土壤类型以潮土、水稻土为主，在农业生产上具有独特优势，适合粮食规模化种植。但存在农田基础设施配套不足，田间道路、灌排、输配电和农田防护与生态环境保护等工程设施参差不齐。部分已建高标准农田因建设时间较长，存在老化损毁问题，改造提升需求迫切。规划期内应加强农田基础设施建设，重点完善灌排渠系，推广节水灌溉技术；全面提升农业机械化水平；加大土壤改良力度；有序推进高标准农田新增建设和改造提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建设重点：一是</w:t>
      </w:r>
      <w:r>
        <w:rPr>
          <w:rFonts w:hint="eastAsia" w:ascii="Times New Roman" w:hAnsi="Times New Roman" w:eastAsia="仿宋_GB2312" w:cs="Times New Roman"/>
          <w:color w:val="000000"/>
          <w:kern w:val="2"/>
          <w:sz w:val="32"/>
          <w:szCs w:val="32"/>
          <w:lang w:val="en-US" w:eastAsia="zh-CN" w:bidi="ar-SA"/>
        </w:rPr>
        <w:t>合理划分和适度归并田块，提高单个田块面积，实现耕作田块相对集中，提高农业机械化程度，适应规模化生产需求。</w:t>
      </w:r>
      <w:r>
        <w:rPr>
          <w:rFonts w:hint="eastAsia" w:ascii="Times New Roman" w:hAnsi="Times New Roman" w:eastAsia="仿宋_GB2312" w:cs="Times New Roman"/>
          <w:b/>
          <w:bCs/>
          <w:color w:val="000000"/>
          <w:kern w:val="2"/>
          <w:sz w:val="32"/>
          <w:szCs w:val="32"/>
          <w:lang w:val="en-US" w:eastAsia="zh-CN" w:bidi="ar-SA"/>
        </w:rPr>
        <w:t>二是</w:t>
      </w:r>
      <w:r>
        <w:rPr>
          <w:rFonts w:hint="eastAsia" w:ascii="Times New Roman" w:hAnsi="Times New Roman" w:eastAsia="仿宋_GB2312" w:cs="Times New Roman"/>
          <w:color w:val="000000"/>
          <w:kern w:val="2"/>
          <w:sz w:val="32"/>
          <w:szCs w:val="32"/>
          <w:lang w:val="en-US" w:eastAsia="zh-CN" w:bidi="ar-SA"/>
        </w:rPr>
        <w:t>改造灌溉排水涵闸、泵站，疏浚排水沟系，保证排灌畅通，解决区域性渍涝问题。</w:t>
      </w:r>
      <w:r>
        <w:rPr>
          <w:rFonts w:hint="eastAsia" w:ascii="Times New Roman" w:hAnsi="Times New Roman" w:eastAsia="仿宋_GB2312" w:cs="Times New Roman"/>
          <w:b/>
          <w:bCs/>
          <w:color w:val="000000"/>
          <w:kern w:val="2"/>
          <w:sz w:val="32"/>
          <w:szCs w:val="32"/>
          <w:lang w:val="en-US" w:eastAsia="zh-CN" w:bidi="ar-SA"/>
        </w:rPr>
        <w:t>三是</w:t>
      </w:r>
      <w:r>
        <w:rPr>
          <w:rFonts w:hint="eastAsia" w:ascii="Times New Roman" w:hAnsi="Times New Roman" w:eastAsia="仿宋_GB2312" w:cs="Times New Roman"/>
          <w:color w:val="000000"/>
          <w:kern w:val="2"/>
          <w:sz w:val="32"/>
          <w:szCs w:val="32"/>
          <w:lang w:val="en-US" w:eastAsia="zh-CN" w:bidi="ar-SA"/>
        </w:rPr>
        <w:t>合理规划田间路网，修建田间道、生产路，新建田间道及下田设施、错车点和末端掉头点等附属设施，满足农田耕作、农业物资与农产品运输等农业生产需求。</w:t>
      </w:r>
      <w:r>
        <w:rPr>
          <w:rFonts w:hint="eastAsia" w:ascii="Times New Roman" w:hAnsi="Times New Roman" w:eastAsia="仿宋_GB2312" w:cs="Times New Roman"/>
          <w:b/>
          <w:bCs/>
          <w:color w:val="000000"/>
          <w:kern w:val="2"/>
          <w:sz w:val="32"/>
          <w:szCs w:val="32"/>
          <w:lang w:val="en-US" w:eastAsia="zh-CN" w:bidi="ar-SA"/>
        </w:rPr>
        <w:t>四是</w:t>
      </w:r>
      <w:r>
        <w:rPr>
          <w:rFonts w:hint="eastAsia" w:ascii="Times New Roman" w:hAnsi="Times New Roman" w:eastAsia="仿宋_GB2312" w:cs="Times New Roman"/>
          <w:color w:val="000000"/>
          <w:kern w:val="2"/>
          <w:sz w:val="32"/>
          <w:szCs w:val="32"/>
          <w:lang w:val="en-US" w:eastAsia="zh-CN" w:bidi="ar-SA"/>
        </w:rPr>
        <w:t>在田块周围建设农田防护林网，提高农田防洪抗灾及水土保持能力。</w:t>
      </w:r>
      <w:r>
        <w:rPr>
          <w:rFonts w:hint="eastAsia" w:ascii="Times New Roman" w:hAnsi="Times New Roman" w:eastAsia="仿宋_GB2312" w:cs="Times New Roman"/>
          <w:b/>
          <w:bCs/>
          <w:color w:val="000000"/>
          <w:kern w:val="2"/>
          <w:sz w:val="32"/>
          <w:szCs w:val="32"/>
          <w:lang w:val="en-US" w:eastAsia="zh-CN" w:bidi="ar-SA"/>
        </w:rPr>
        <w:t>五是</w:t>
      </w:r>
      <w:r>
        <w:rPr>
          <w:rFonts w:hint="eastAsia" w:ascii="Times New Roman" w:hAnsi="Times New Roman" w:eastAsia="仿宋_GB2312" w:cs="Times New Roman"/>
          <w:color w:val="000000"/>
          <w:kern w:val="2"/>
          <w:sz w:val="32"/>
          <w:szCs w:val="32"/>
          <w:lang w:val="en-US" w:eastAsia="zh-CN" w:bidi="ar-SA"/>
        </w:rPr>
        <w:t>加快高标准农田与农机、农技、农艺深度融合，加快良种良法推广，积极引导种植双季稻，提高粮食产量。</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06" w:name="_Toc6657"/>
      <w:r>
        <w:rPr>
          <w:rFonts w:hint="eastAsia" w:ascii="楷体_GB2312" w:hAnsi="楷体_GB2312" w:eastAsia="楷体_GB2312" w:cs="楷体_GB2312"/>
          <w:color w:val="000000"/>
          <w:kern w:val="2"/>
          <w:sz w:val="32"/>
          <w:szCs w:val="32"/>
          <w:lang w:val="en-US" w:eastAsia="zh-CN" w:bidi="ar-SA"/>
        </w:rPr>
        <w:t>（二）中部现代都市农业示范区</w:t>
      </w:r>
      <w:bookmarkEnd w:id="10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区域范围：</w:t>
      </w:r>
      <w:r>
        <w:rPr>
          <w:rFonts w:hint="eastAsia" w:ascii="Times New Roman" w:hAnsi="Times New Roman" w:eastAsia="仿宋_GB2312" w:cs="Times New Roman"/>
          <w:color w:val="000000"/>
          <w:kern w:val="2"/>
          <w:sz w:val="32"/>
          <w:szCs w:val="32"/>
          <w:lang w:val="en-US" w:eastAsia="zh-CN" w:bidi="ar-SA"/>
        </w:rPr>
        <w:t>以“107国道”为纵轴，北起南环线，南至山坡街贺胜桥；西连鲁湖、斧头湖，东接“纸贺”路，涉及郑店、安山、山坡等街道。</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区域特征：</w:t>
      </w:r>
      <w:r>
        <w:rPr>
          <w:rFonts w:hint="eastAsia" w:ascii="Times New Roman" w:hAnsi="Times New Roman" w:eastAsia="仿宋_GB2312" w:cs="Times New Roman"/>
          <w:color w:val="000000"/>
          <w:kern w:val="2"/>
          <w:sz w:val="32"/>
          <w:szCs w:val="32"/>
          <w:lang w:val="en-US" w:eastAsia="zh-CN" w:bidi="ar-SA"/>
        </w:rPr>
        <w:t>该区域区位优势、农业产业基础好，设施农业、科技农业、两型农业、种苗农业等产业具有一定规模。但存在农田供水不足，主要依靠蓄水工程供水。特殊干旱年或季节性干旱来临时，农田灌溉相对困难，且现有蓄水工程用多管少，因水土流失导致蓄水工程淤塞严重，调蓄容量大大减少。该区灌溉和排水工程规划，应加强坑塘建设，恢复并扩大蓄水工程调蓄能力；改建渠系配套工程，提高渠系输水能力；新建部分提引水工程，扩大灌区受益面积，提高灌溉保证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建设重点：一是</w:t>
      </w:r>
      <w:r>
        <w:rPr>
          <w:rFonts w:hint="eastAsia" w:ascii="Times New Roman" w:hAnsi="Times New Roman" w:eastAsia="仿宋_GB2312" w:cs="Times New Roman"/>
          <w:color w:val="000000"/>
          <w:kern w:val="2"/>
          <w:sz w:val="32"/>
          <w:szCs w:val="32"/>
          <w:lang w:val="en-US" w:eastAsia="zh-CN" w:bidi="ar-SA"/>
        </w:rPr>
        <w:t>因地制宜修筑梯田，提高梯田化率和耕作层厚度，坡地土层较厚地区按等高线走向设置水平梯田，坡地土层较薄地区设置成坡式梯田，满足农业机械田间作业。</w:t>
      </w:r>
      <w:r>
        <w:rPr>
          <w:rFonts w:hint="eastAsia" w:ascii="Times New Roman" w:hAnsi="Times New Roman" w:eastAsia="仿宋_GB2312" w:cs="Times New Roman"/>
          <w:b/>
          <w:bCs/>
          <w:color w:val="000000"/>
          <w:kern w:val="2"/>
          <w:sz w:val="32"/>
          <w:szCs w:val="32"/>
          <w:lang w:val="en-US" w:eastAsia="zh-CN" w:bidi="ar-SA"/>
        </w:rPr>
        <w:t>二是</w:t>
      </w:r>
      <w:r>
        <w:rPr>
          <w:rFonts w:hint="eastAsia" w:ascii="Times New Roman" w:hAnsi="Times New Roman" w:eastAsia="仿宋_GB2312" w:cs="Times New Roman"/>
          <w:color w:val="000000"/>
          <w:kern w:val="2"/>
          <w:sz w:val="32"/>
          <w:szCs w:val="32"/>
          <w:lang w:val="en-US" w:eastAsia="zh-CN" w:bidi="ar-SA"/>
        </w:rPr>
        <w:t>实施耕地深耕深松，测土配方施肥，施用有机肥，种植绿肥，改良土壤。</w:t>
      </w:r>
      <w:r>
        <w:rPr>
          <w:rFonts w:hint="eastAsia" w:ascii="Times New Roman" w:hAnsi="Times New Roman" w:eastAsia="仿宋_GB2312" w:cs="Times New Roman"/>
          <w:b/>
          <w:bCs/>
          <w:color w:val="000000"/>
          <w:kern w:val="2"/>
          <w:sz w:val="32"/>
          <w:szCs w:val="32"/>
          <w:lang w:val="en-US" w:eastAsia="zh-CN" w:bidi="ar-SA"/>
        </w:rPr>
        <w:t>三是</w:t>
      </w:r>
      <w:r>
        <w:rPr>
          <w:rFonts w:hint="eastAsia" w:ascii="Times New Roman" w:hAnsi="Times New Roman" w:eastAsia="仿宋_GB2312" w:cs="Times New Roman"/>
          <w:color w:val="000000"/>
          <w:kern w:val="2"/>
          <w:sz w:val="32"/>
          <w:szCs w:val="32"/>
          <w:lang w:val="en-US" w:eastAsia="zh-CN" w:bidi="ar-SA"/>
        </w:rPr>
        <w:t>加强建设蓄、提、引水配套工程，新建、改造灌区内塘（堰）、泵站、沟渠，加强雨水集蓄利用工程建设，提高灌溉供水保障和防洪能力。</w:t>
      </w:r>
      <w:r>
        <w:rPr>
          <w:rFonts w:hint="eastAsia" w:ascii="Times New Roman" w:hAnsi="Times New Roman" w:eastAsia="仿宋_GB2312" w:cs="Times New Roman"/>
          <w:b/>
          <w:bCs/>
          <w:color w:val="000000"/>
          <w:kern w:val="2"/>
          <w:sz w:val="32"/>
          <w:szCs w:val="32"/>
          <w:lang w:val="en-US" w:eastAsia="zh-CN" w:bidi="ar-SA"/>
        </w:rPr>
        <w:t>四是</w:t>
      </w:r>
      <w:r>
        <w:rPr>
          <w:rFonts w:hint="eastAsia" w:ascii="Times New Roman" w:hAnsi="Times New Roman" w:eastAsia="仿宋_GB2312" w:cs="Times New Roman"/>
          <w:color w:val="000000"/>
          <w:kern w:val="2"/>
          <w:sz w:val="32"/>
          <w:szCs w:val="32"/>
          <w:lang w:val="en-US" w:eastAsia="zh-CN" w:bidi="ar-SA"/>
        </w:rPr>
        <w:t>合理规划田间路网，修建田间道、生产路，新建田间道及下田设施、错车点和末端掉头点等附属设施，满足农田耕作、农业物资与农产品运输等农业生产需求。</w:t>
      </w:r>
      <w:r>
        <w:rPr>
          <w:rFonts w:hint="eastAsia" w:ascii="Times New Roman" w:hAnsi="Times New Roman" w:eastAsia="仿宋_GB2312" w:cs="Times New Roman"/>
          <w:b/>
          <w:bCs/>
          <w:color w:val="000000"/>
          <w:kern w:val="2"/>
          <w:sz w:val="32"/>
          <w:szCs w:val="32"/>
          <w:lang w:val="en-US" w:eastAsia="zh-CN" w:bidi="ar-SA"/>
        </w:rPr>
        <w:t>五是</w:t>
      </w:r>
      <w:r>
        <w:rPr>
          <w:rFonts w:hint="eastAsia" w:ascii="Times New Roman" w:hAnsi="Times New Roman" w:eastAsia="仿宋_GB2312" w:cs="Times New Roman"/>
          <w:color w:val="000000"/>
          <w:kern w:val="2"/>
          <w:sz w:val="32"/>
          <w:szCs w:val="32"/>
          <w:lang w:val="en-US" w:eastAsia="zh-CN" w:bidi="ar-SA"/>
        </w:rPr>
        <w:t>发展田间节水工程，增加灌溉面积；加强渠道防渗、低压管道输水灌溉、喷灌、微灌等高效节水设施建设，推进“水肥一体化”，提高水资源利用效率。</w:t>
      </w:r>
      <w:r>
        <w:rPr>
          <w:rFonts w:hint="eastAsia" w:ascii="Times New Roman" w:hAnsi="Times New Roman" w:eastAsia="仿宋_GB2312" w:cs="Times New Roman"/>
          <w:b/>
          <w:bCs/>
          <w:color w:val="000000"/>
          <w:kern w:val="2"/>
          <w:sz w:val="32"/>
          <w:szCs w:val="32"/>
          <w:lang w:val="en-US" w:eastAsia="zh-CN" w:bidi="ar-SA"/>
        </w:rPr>
        <w:t>六是</w:t>
      </w:r>
      <w:r>
        <w:rPr>
          <w:rFonts w:hint="eastAsia" w:ascii="Times New Roman" w:hAnsi="Times New Roman" w:eastAsia="仿宋_GB2312" w:cs="Times New Roman"/>
          <w:color w:val="000000"/>
          <w:kern w:val="2"/>
          <w:sz w:val="32"/>
          <w:szCs w:val="32"/>
          <w:lang w:val="en-US" w:eastAsia="zh-CN" w:bidi="ar-SA"/>
        </w:rPr>
        <w:t>加强建设农田防护林，合理布置岸坡防护和坡面防护配套工程，防治土壤沙质化，防止土地生产力下降。</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07" w:name="_Toc14543"/>
      <w:r>
        <w:rPr>
          <w:rFonts w:hint="eastAsia" w:ascii="楷体_GB2312" w:hAnsi="楷体_GB2312" w:eastAsia="楷体_GB2312" w:cs="楷体_GB2312"/>
          <w:color w:val="000000"/>
          <w:kern w:val="2"/>
          <w:sz w:val="32"/>
          <w:szCs w:val="32"/>
          <w:lang w:val="en-US" w:eastAsia="zh-CN" w:bidi="ar-SA"/>
        </w:rPr>
        <w:t>（三）东部休闲农业体验区</w:t>
      </w:r>
      <w:bookmarkEnd w:id="10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区域范围：</w:t>
      </w:r>
      <w:r>
        <w:rPr>
          <w:rFonts w:hint="eastAsia" w:ascii="Times New Roman" w:hAnsi="Times New Roman" w:eastAsia="仿宋_GB2312" w:cs="Times New Roman"/>
          <w:color w:val="000000"/>
          <w:kern w:val="2"/>
          <w:sz w:val="32"/>
          <w:szCs w:val="32"/>
          <w:lang w:val="en-US" w:eastAsia="zh-CN" w:bidi="ar-SA"/>
        </w:rPr>
        <w:t>以“天子山、梁子湖大道”为纵轴，北起“南环线”，南至铁贺公路，西连京广高速铁路，东接“藏龙公路”。涉及纸坊、乌龙泉、舒安、湖泗等街道。</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区域特征：</w:t>
      </w:r>
      <w:r>
        <w:rPr>
          <w:rFonts w:hint="eastAsia" w:ascii="Times New Roman" w:hAnsi="Times New Roman" w:eastAsia="仿宋_GB2312" w:cs="Times New Roman"/>
          <w:color w:val="000000"/>
          <w:kern w:val="2"/>
          <w:sz w:val="32"/>
          <w:szCs w:val="32"/>
          <w:lang w:val="en-US" w:eastAsia="zh-CN" w:bidi="ar-SA"/>
        </w:rPr>
        <w:t>该区域地形为丘陵，农田基础设施配套不完善，田间道路、灌溉等工程设施不足，局部地区水土流失易发。已建高标准农田因建设时间较长，部分田间道路及其附属设施建设不完善，灌排效率较低，改造提升需求迫切。规划期内应全面提升农业机械化水平，加大坡改梯力度，治理酸化土壤，建设小型水源工程，发展节水灌溉，减少水土流失，有序推进高标准农田新增建设和改造提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建设重点：一是</w:t>
      </w:r>
      <w:r>
        <w:rPr>
          <w:rFonts w:hint="eastAsia" w:ascii="Times New Roman" w:hAnsi="Times New Roman" w:eastAsia="仿宋_GB2312" w:cs="Times New Roman"/>
          <w:color w:val="000000"/>
          <w:kern w:val="2"/>
          <w:sz w:val="32"/>
          <w:szCs w:val="32"/>
          <w:lang w:val="en-US" w:eastAsia="zh-CN" w:bidi="ar-SA"/>
        </w:rPr>
        <w:t>因地制宜修筑梯田，提高梯田化率和耕作层厚度，坡地土层较厚地区按等高线走向设置水平梯田，坡地土层较薄地区设置成坡式梯田，满足农业机械田间作业。</w:t>
      </w:r>
      <w:r>
        <w:rPr>
          <w:rFonts w:hint="eastAsia" w:ascii="Times New Roman" w:hAnsi="Times New Roman" w:eastAsia="仿宋_GB2312" w:cs="Times New Roman"/>
          <w:b/>
          <w:bCs/>
          <w:color w:val="000000"/>
          <w:kern w:val="2"/>
          <w:sz w:val="32"/>
          <w:szCs w:val="32"/>
          <w:lang w:val="en-US" w:eastAsia="zh-CN" w:bidi="ar-SA"/>
        </w:rPr>
        <w:t>二是</w:t>
      </w:r>
      <w:r>
        <w:rPr>
          <w:rFonts w:hint="eastAsia" w:ascii="Times New Roman" w:hAnsi="Times New Roman" w:eastAsia="仿宋_GB2312" w:cs="Times New Roman"/>
          <w:color w:val="000000"/>
          <w:kern w:val="2"/>
          <w:sz w:val="32"/>
          <w:szCs w:val="32"/>
          <w:lang w:val="en-US" w:eastAsia="zh-CN" w:bidi="ar-SA"/>
        </w:rPr>
        <w:t>实施耕地深耕深松，测土配方施肥，施用有机肥，种植绿肥，采取秸秆还田、畜禽粪污还田利用等措施，培肥改良土壤，增加土壤有机质含量，定期检测土壤氮、磷、钾元素状况，适时开展因缺补缺治理，促进土壤营养均衡。</w:t>
      </w:r>
      <w:r>
        <w:rPr>
          <w:rFonts w:hint="eastAsia" w:ascii="Times New Roman" w:hAnsi="Times New Roman" w:eastAsia="仿宋_GB2312" w:cs="Times New Roman"/>
          <w:b/>
          <w:bCs/>
          <w:color w:val="000000"/>
          <w:kern w:val="2"/>
          <w:sz w:val="32"/>
          <w:szCs w:val="32"/>
          <w:lang w:val="en-US" w:eastAsia="zh-CN" w:bidi="ar-SA"/>
        </w:rPr>
        <w:t>三是</w:t>
      </w:r>
      <w:r>
        <w:rPr>
          <w:rFonts w:hint="eastAsia" w:ascii="Times New Roman" w:hAnsi="Times New Roman" w:eastAsia="仿宋_GB2312" w:cs="Times New Roman"/>
          <w:color w:val="000000"/>
          <w:kern w:val="2"/>
          <w:sz w:val="32"/>
          <w:szCs w:val="32"/>
          <w:lang w:val="en-US" w:eastAsia="zh-CN" w:bidi="ar-SA"/>
        </w:rPr>
        <w:t>加强建设蓄、提、引水配套工程，新建、改造灌区内塘（堰）、泵站、沟渠，加强雨水集蓄利用工程建设，提高灌溉供水保障和防洪能力。</w:t>
      </w:r>
      <w:r>
        <w:rPr>
          <w:rFonts w:hint="eastAsia" w:ascii="Times New Roman" w:hAnsi="Times New Roman" w:eastAsia="仿宋_GB2312" w:cs="Times New Roman"/>
          <w:b/>
          <w:bCs/>
          <w:color w:val="000000"/>
          <w:kern w:val="2"/>
          <w:sz w:val="32"/>
          <w:szCs w:val="32"/>
          <w:lang w:val="en-US" w:eastAsia="zh-CN" w:bidi="ar-SA"/>
        </w:rPr>
        <w:t>四是</w:t>
      </w:r>
      <w:r>
        <w:rPr>
          <w:rFonts w:hint="eastAsia" w:ascii="Times New Roman" w:hAnsi="Times New Roman" w:eastAsia="仿宋_GB2312" w:cs="Times New Roman"/>
          <w:color w:val="000000"/>
          <w:kern w:val="2"/>
          <w:sz w:val="32"/>
          <w:szCs w:val="32"/>
          <w:lang w:val="en-US" w:eastAsia="zh-CN" w:bidi="ar-SA"/>
        </w:rPr>
        <w:t>合理规划田间路网，修建田间道、生产路，新建田间道及下田设施、错车点和末端掉头点等附属设施，满足农田耕作、农业物资与农产品运输等农业生产需求。</w:t>
      </w:r>
      <w:r>
        <w:rPr>
          <w:rFonts w:hint="eastAsia" w:ascii="Times New Roman" w:hAnsi="Times New Roman" w:eastAsia="仿宋_GB2312" w:cs="Times New Roman"/>
          <w:b/>
          <w:bCs/>
          <w:color w:val="000000"/>
          <w:kern w:val="2"/>
          <w:sz w:val="32"/>
          <w:szCs w:val="32"/>
          <w:lang w:val="en-US" w:eastAsia="zh-CN" w:bidi="ar-SA"/>
        </w:rPr>
        <w:t>五是</w:t>
      </w:r>
      <w:r>
        <w:rPr>
          <w:rFonts w:hint="eastAsia" w:ascii="Times New Roman" w:hAnsi="Times New Roman" w:eastAsia="仿宋_GB2312" w:cs="Times New Roman"/>
          <w:color w:val="000000"/>
          <w:kern w:val="2"/>
          <w:sz w:val="32"/>
          <w:szCs w:val="32"/>
          <w:lang w:val="en-US" w:eastAsia="zh-CN" w:bidi="ar-SA"/>
        </w:rPr>
        <w:t>加快高标准农田与农机、农技、农艺深度融合，加快良种良法推广，积极引导种植双季稻，提高粮食产量。</w:t>
      </w:r>
      <w:r>
        <w:rPr>
          <w:rFonts w:hint="eastAsia" w:ascii="Times New Roman" w:hAnsi="Times New Roman" w:eastAsia="仿宋_GB2312" w:cs="Times New Roman"/>
          <w:b/>
          <w:bCs/>
          <w:color w:val="000000"/>
          <w:kern w:val="2"/>
          <w:sz w:val="32"/>
          <w:szCs w:val="32"/>
          <w:lang w:val="en-US" w:eastAsia="zh-CN" w:bidi="ar-SA"/>
        </w:rPr>
        <w:t>六是</w:t>
      </w:r>
      <w:r>
        <w:rPr>
          <w:rFonts w:hint="eastAsia" w:ascii="Times New Roman" w:hAnsi="Times New Roman" w:eastAsia="仿宋_GB2312" w:cs="Times New Roman"/>
          <w:color w:val="000000"/>
          <w:kern w:val="2"/>
          <w:sz w:val="32"/>
          <w:szCs w:val="32"/>
          <w:lang w:val="en-US" w:eastAsia="zh-CN" w:bidi="ar-SA"/>
        </w:rPr>
        <w:t>加强建设农田防护林，合理布置岸坡防护和坡面防护配套工程，防治土壤沙质化，防止土地生产力下降。</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黑体" w:hAnsi="黑体" w:eastAsia="黑体" w:cs="黑体"/>
          <w:color w:val="000000"/>
          <w:kern w:val="2"/>
          <w:sz w:val="32"/>
          <w:szCs w:val="32"/>
          <w:lang w:val="en-US" w:eastAsia="zh-CN" w:bidi="ar-SA"/>
        </w:rPr>
      </w:pPr>
      <w:bookmarkStart w:id="108" w:name="_Toc10371"/>
      <w:bookmarkStart w:id="109" w:name="_Toc23542"/>
      <w:r>
        <w:rPr>
          <w:rFonts w:hint="eastAsia" w:ascii="黑体" w:hAnsi="黑体" w:eastAsia="黑体" w:cs="黑体"/>
          <w:color w:val="000000"/>
          <w:kern w:val="2"/>
          <w:sz w:val="32"/>
          <w:szCs w:val="32"/>
          <w:lang w:val="en-US" w:eastAsia="zh-CN" w:bidi="ar-SA"/>
        </w:rPr>
        <w:t>二、建设任务</w:t>
      </w:r>
      <w:bookmarkEnd w:id="108"/>
      <w:bookmarkEnd w:id="10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10" w:name="_Toc11964"/>
      <w:r>
        <w:rPr>
          <w:rFonts w:hint="eastAsia" w:ascii="楷体_GB2312" w:hAnsi="楷体_GB2312" w:eastAsia="楷体_GB2312" w:cs="楷体_GB2312"/>
          <w:color w:val="000000"/>
          <w:kern w:val="2"/>
          <w:sz w:val="32"/>
          <w:szCs w:val="32"/>
          <w:lang w:val="en-US" w:eastAsia="zh-CN" w:bidi="ar-SA"/>
        </w:rPr>
        <w:t>（一）任务分解</w:t>
      </w:r>
      <w:bookmarkEnd w:id="11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根据《湖北省高标准农田建设规划（2022-2030年）》和《武汉市高标准农田建设规划（2022-2030年）》要求，确保2026-2030</w:t>
      </w:r>
      <w:r>
        <w:rPr>
          <w:rFonts w:hint="eastAsia" w:ascii="Times New Roman" w:hAnsi="Times New Roman" w:eastAsia="仿宋_GB2312" w:cs="Times New Roman"/>
          <w:color w:val="auto"/>
          <w:kern w:val="2"/>
          <w:sz w:val="32"/>
          <w:szCs w:val="32"/>
          <w:highlight w:val="none"/>
          <w:lang w:val="en-US" w:eastAsia="zh-CN" w:bidi="ar-SA"/>
        </w:rPr>
        <w:t>年江夏区新建高标准农田</w:t>
      </w:r>
      <w:r>
        <w:rPr>
          <w:rFonts w:hint="eastAsia" w:eastAsia="仿宋_GB2312" w:cs="Times New Roman"/>
          <w:color w:val="auto"/>
          <w:kern w:val="2"/>
          <w:sz w:val="32"/>
          <w:szCs w:val="32"/>
          <w:highlight w:val="none"/>
          <w:lang w:val="en-US" w:eastAsia="zh-CN" w:bidi="ar-SA"/>
        </w:rPr>
        <w:t>3.59</w:t>
      </w:r>
      <w:r>
        <w:rPr>
          <w:rFonts w:hint="eastAsia" w:ascii="Times New Roman" w:hAnsi="Times New Roman" w:eastAsia="仿宋_GB2312" w:cs="Times New Roman"/>
          <w:color w:val="auto"/>
          <w:kern w:val="2"/>
          <w:sz w:val="32"/>
          <w:szCs w:val="32"/>
          <w:highlight w:val="none"/>
          <w:lang w:val="en-US" w:eastAsia="zh-CN" w:bidi="ar-SA"/>
        </w:rPr>
        <w:t>万亩，改造提升高标准农田</w:t>
      </w:r>
      <w:r>
        <w:rPr>
          <w:rFonts w:hint="eastAsia" w:eastAsia="仿宋_GB2312" w:cs="Times New Roman"/>
          <w:color w:val="auto"/>
          <w:kern w:val="2"/>
          <w:sz w:val="32"/>
          <w:szCs w:val="32"/>
          <w:highlight w:val="none"/>
          <w:lang w:val="en-US" w:eastAsia="zh-CN" w:bidi="ar-SA"/>
        </w:rPr>
        <w:t>2.53</w:t>
      </w:r>
      <w:r>
        <w:rPr>
          <w:rFonts w:hint="eastAsia" w:ascii="Times New Roman" w:hAnsi="Times New Roman" w:eastAsia="仿宋_GB2312" w:cs="Times New Roman"/>
          <w:color w:val="auto"/>
          <w:kern w:val="2"/>
          <w:sz w:val="32"/>
          <w:szCs w:val="32"/>
          <w:highlight w:val="none"/>
          <w:lang w:val="en-US" w:eastAsia="zh-CN" w:bidi="ar-SA"/>
        </w:rPr>
        <w:t>万亩。</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根据江夏区各街道实际情况，《规划》对上位规划下达的高标准农田建设任务进行分解，共涉及</w:t>
      </w:r>
      <w:r>
        <w:rPr>
          <w:rFonts w:hint="eastAsia" w:eastAsia="仿宋_GB2312" w:cs="Times New Roman"/>
          <w:color w:val="000000"/>
          <w:kern w:val="2"/>
          <w:sz w:val="32"/>
          <w:szCs w:val="32"/>
          <w:lang w:val="en-US" w:eastAsia="zh-CN" w:bidi="ar-SA"/>
        </w:rPr>
        <w:t>金水、湖泗、安山、郑店、山坡、梁子湖、金口、乌龙泉、舒安、纸坊、五里界</w:t>
      </w:r>
      <w:r>
        <w:rPr>
          <w:rFonts w:hint="eastAsia" w:ascii="Times New Roman" w:hAnsi="Times New Roman" w:eastAsia="仿宋_GB2312" w:cs="Times New Roman"/>
          <w:color w:val="000000"/>
          <w:kern w:val="2"/>
          <w:sz w:val="32"/>
          <w:szCs w:val="32"/>
          <w:lang w:val="en-US" w:eastAsia="zh-CN" w:bidi="ar-SA"/>
        </w:rPr>
        <w:t>，项目区划分坚持集中连片的原则。</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具体见任务分解见专栏7。</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508" w:lineRule="exact"/>
        <w:ind w:left="0" w:leftChars="0" w:firstLine="0" w:firstLineChars="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专栏7</w:t>
      </w:r>
    </w:p>
    <w:p>
      <w:pPr>
        <w:keepNext w:val="0"/>
        <w:keepLines w:val="0"/>
        <w:pageBreakBefore w:val="0"/>
        <w:widowControl w:val="0"/>
        <w:kinsoku/>
        <w:wordWrap/>
        <w:overflowPunct/>
        <w:topLinePunct w:val="0"/>
        <w:autoSpaceDE/>
        <w:autoSpaceDN/>
        <w:bidi w:val="0"/>
        <w:adjustRightInd/>
        <w:snapToGrid/>
        <w:spacing w:before="0" w:after="0" w:line="508"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2026-2030年江夏区分街道高标准农田建设任务分解表</w:t>
      </w:r>
    </w:p>
    <w:tbl>
      <w:tblPr>
        <w:tblStyle w:val="25"/>
        <w:tblW w:w="503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93"/>
        <w:gridCol w:w="624"/>
        <w:gridCol w:w="4442"/>
        <w:gridCol w:w="1248"/>
        <w:gridCol w:w="3865"/>
        <w:gridCol w:w="1339"/>
        <w:gridCol w:w="1218"/>
        <w:gridCol w:w="12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blHeader/>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街道</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序号</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项目名称</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实施年度</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涉及行政村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建设规模（万亩）</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新建</w:t>
            </w:r>
          </w:p>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（万亩）</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提质改造（万亩）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金水</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w:t>
            </w:r>
            <w:r>
              <w:rPr>
                <w:rFonts w:hint="default" w:ascii="Times New Roman" w:hAnsi="Times New Roman" w:eastAsia="仿宋_GB2312" w:cs="Times New Roman"/>
                <w:color w:val="000000"/>
                <w:kern w:val="2"/>
                <w:sz w:val="24"/>
                <w:szCs w:val="24"/>
                <w:lang w:val="en-US" w:eastAsia="zh-CN" w:bidi="ar-SA"/>
              </w:rPr>
              <w:t>026年度江夏区高标准农田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（金水片区）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2026</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新沟大队、花篮棚大队</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0.00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ascii="Times New Roman" w:hAnsi="Times New Roman" w:eastAsia="仿宋_GB2312" w:cs="Times New Roman"/>
                <w:color w:val="000000"/>
                <w:kern w:val="2"/>
                <w:sz w:val="24"/>
                <w:szCs w:val="24"/>
                <w:lang w:val="en-US" w:eastAsia="zh-CN" w:bidi="ar-SA"/>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湖泗</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2026年度江夏区高标准农田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（湖泗片区）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2026</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大屋陈村、七海村、张林村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ascii="Times New Roman" w:hAnsi="Times New Roman" w:eastAsia="仿宋_GB2312" w:cs="Times New Roman"/>
                <w:color w:val="000000"/>
                <w:kern w:val="2"/>
                <w:sz w:val="24"/>
                <w:szCs w:val="24"/>
                <w:lang w:val="en-US" w:eastAsia="zh-CN" w:bidi="ar-SA"/>
              </w:rPr>
              <w:t>3</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0.30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80" w:hRule="atLeast"/>
        </w:trPr>
        <w:tc>
          <w:tcPr>
            <w:tcW w:w="331" w:type="pct"/>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安山</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3</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2026年度江夏区高标准农田新建和改造提升项目（安山片区）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2026</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马安村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ascii="Times New Roman" w:hAnsi="Times New Roman" w:eastAsia="仿宋_GB2312" w:cs="Times New Roman"/>
                <w:color w:val="000000"/>
                <w:kern w:val="2"/>
                <w:sz w:val="24"/>
                <w:szCs w:val="24"/>
                <w:lang w:val="en-US" w:eastAsia="zh-CN" w:bidi="ar-SA"/>
              </w:rPr>
              <w:t>2</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0.20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4</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7</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（安山片区）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2027</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英雄村、红灯村、幸福村、灯塔村、新窑村、安山村、洪湾村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5</w:t>
            </w:r>
            <w:r>
              <w:rPr>
                <w:rFonts w:hint="eastAsia" w:ascii="Times New Roman" w:hAnsi="Times New Roman" w:eastAsia="仿宋_GB2312" w:cs="Times New Roman"/>
                <w:color w:val="000000"/>
                <w:kern w:val="2"/>
                <w:sz w:val="24"/>
                <w:szCs w:val="24"/>
                <w:lang w:val="en-US" w:eastAsia="zh-CN" w:bidi="ar-SA"/>
              </w:rPr>
              <w:t>1</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1</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郑店</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5</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7</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（郑店片区）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2027</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崇岭村、段岭庙村、老屋胡村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kern w:val="2"/>
                <w:sz w:val="24"/>
                <w:szCs w:val="24"/>
                <w:lang w:val="en-US" w:eastAsia="zh-CN" w:bidi="ar-SA"/>
              </w:rPr>
              <w:t>5</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山坡</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6</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8</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（山坡片区）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8</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绿化</w:t>
            </w:r>
            <w:r>
              <w:rPr>
                <w:rFonts w:hint="eastAsia" w:ascii="Times New Roman" w:hAnsi="Times New Roman" w:eastAsia="仿宋_GB2312" w:cs="Times New Roman"/>
                <w:color w:val="000000"/>
                <w:kern w:val="2"/>
                <w:sz w:val="24"/>
                <w:szCs w:val="24"/>
                <w:lang w:val="en-US" w:eastAsia="zh-CN" w:bidi="ar-SA"/>
              </w:rPr>
              <w:t>村、</w:t>
            </w:r>
            <w:r>
              <w:rPr>
                <w:rFonts w:hint="default" w:ascii="Times New Roman" w:hAnsi="Times New Roman" w:eastAsia="仿宋_GB2312" w:cs="Times New Roman"/>
                <w:color w:val="000000"/>
                <w:kern w:val="2"/>
                <w:sz w:val="24"/>
                <w:szCs w:val="24"/>
                <w:lang w:val="en-US" w:eastAsia="zh-CN" w:bidi="ar-SA"/>
              </w:rPr>
              <w:t>五里山村</w:t>
            </w:r>
            <w:r>
              <w:rPr>
                <w:rFonts w:hint="eastAsia" w:ascii="Times New Roman" w:hAnsi="Times New Roman" w:eastAsia="仿宋_GB2312" w:cs="Times New Roman"/>
                <w:color w:val="000000"/>
                <w:kern w:val="2"/>
                <w:sz w:val="24"/>
                <w:szCs w:val="24"/>
                <w:lang w:val="en-US" w:eastAsia="zh-CN" w:bidi="ar-SA"/>
              </w:rPr>
              <w:t>、新生村、官南村、高峰村</w:t>
            </w:r>
            <w:r>
              <w:rPr>
                <w:rFonts w:hint="eastAsia" w:eastAsia="仿宋_GB2312" w:cs="Times New Roman"/>
                <w:color w:val="000000"/>
                <w:kern w:val="2"/>
                <w:sz w:val="24"/>
                <w:szCs w:val="24"/>
                <w:lang w:val="en-US" w:eastAsia="zh-CN" w:bidi="ar-SA"/>
              </w:rPr>
              <w:t>、保福祠村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0.68</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38</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3</w:t>
            </w:r>
            <w:r>
              <w:rPr>
                <w:rFonts w:hint="default" w:ascii="Times New Roman" w:hAnsi="Times New Roman" w:eastAsia="仿宋_GB2312" w:cs="Times New Roman"/>
                <w:color w:val="000000"/>
                <w:kern w:val="2"/>
                <w:sz w:val="24"/>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8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7</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w:t>
            </w:r>
            <w:r>
              <w:rPr>
                <w:rFonts w:hint="eastAsia" w:ascii="Times New Roman" w:hAnsi="Times New Roman" w:eastAsia="仿宋_GB2312" w:cs="Times New Roman"/>
                <w:color w:val="000000"/>
                <w:kern w:val="2"/>
                <w:sz w:val="24"/>
                <w:szCs w:val="24"/>
                <w:lang w:val="en-US" w:eastAsia="zh-CN" w:bidi="ar-SA"/>
              </w:rPr>
              <w:t>30</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（山坡片区）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2030</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先锋村、向阳二村、光辉村、南岸一村、大咀村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0.80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47</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梁子湖</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8</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9</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（梁子湖片区）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2029</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新华</w:t>
            </w:r>
            <w:r>
              <w:rPr>
                <w:rFonts w:hint="eastAsia" w:ascii="Times New Roman" w:hAnsi="Times New Roman" w:eastAsia="仿宋_GB2312" w:cs="Times New Roman"/>
                <w:color w:val="000000"/>
                <w:kern w:val="2"/>
                <w:sz w:val="24"/>
                <w:szCs w:val="24"/>
                <w:lang w:val="en-US" w:eastAsia="zh-CN" w:bidi="ar-SA"/>
              </w:rPr>
              <w:t>村、</w:t>
            </w:r>
            <w:r>
              <w:rPr>
                <w:rFonts w:hint="default" w:ascii="Times New Roman" w:hAnsi="Times New Roman" w:eastAsia="仿宋_GB2312" w:cs="Times New Roman"/>
                <w:color w:val="000000"/>
                <w:kern w:val="2"/>
                <w:sz w:val="24"/>
                <w:szCs w:val="24"/>
                <w:lang w:val="en-US" w:eastAsia="zh-CN" w:bidi="ar-SA"/>
              </w:rPr>
              <w:t>北咀</w:t>
            </w:r>
            <w:r>
              <w:rPr>
                <w:rFonts w:hint="eastAsia" w:ascii="Times New Roman" w:hAnsi="Times New Roman" w:eastAsia="仿宋_GB2312" w:cs="Times New Roman"/>
                <w:color w:val="000000"/>
                <w:kern w:val="2"/>
                <w:sz w:val="24"/>
                <w:szCs w:val="24"/>
                <w:lang w:val="en-US" w:eastAsia="zh-CN" w:bidi="ar-SA"/>
              </w:rPr>
              <w:t>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5</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5</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金口</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9</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7</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（金口片区）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2029</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夏山</w:t>
            </w:r>
            <w:r>
              <w:rPr>
                <w:rFonts w:hint="eastAsia" w:ascii="Times New Roman" w:hAnsi="Times New Roman" w:eastAsia="仿宋_GB2312" w:cs="Times New Roman"/>
                <w:color w:val="000000"/>
                <w:kern w:val="2"/>
                <w:sz w:val="24"/>
                <w:szCs w:val="24"/>
                <w:lang w:val="en-US" w:eastAsia="zh-CN" w:bidi="ar-SA"/>
              </w:rPr>
              <w:t>村、</w:t>
            </w:r>
            <w:r>
              <w:rPr>
                <w:rFonts w:hint="default" w:ascii="Times New Roman" w:hAnsi="Times New Roman" w:eastAsia="仿宋_GB2312" w:cs="Times New Roman"/>
                <w:color w:val="000000"/>
                <w:kern w:val="2"/>
                <w:sz w:val="24"/>
                <w:szCs w:val="24"/>
                <w:lang w:val="en-US" w:eastAsia="zh-CN" w:bidi="ar-SA"/>
              </w:rPr>
              <w:t>雷岭</w:t>
            </w:r>
            <w:r>
              <w:rPr>
                <w:rFonts w:hint="eastAsia" w:ascii="Times New Roman" w:hAnsi="Times New Roman" w:eastAsia="仿宋_GB2312" w:cs="Times New Roman"/>
                <w:color w:val="000000"/>
                <w:kern w:val="2"/>
                <w:sz w:val="24"/>
                <w:szCs w:val="24"/>
                <w:lang w:val="en-US" w:eastAsia="zh-CN" w:bidi="ar-SA"/>
              </w:rPr>
              <w:t>村、</w:t>
            </w:r>
            <w:r>
              <w:rPr>
                <w:rFonts w:hint="default" w:ascii="Times New Roman" w:hAnsi="Times New Roman" w:eastAsia="仿宋_GB2312" w:cs="Times New Roman"/>
                <w:color w:val="000000"/>
                <w:kern w:val="2"/>
                <w:sz w:val="24"/>
                <w:szCs w:val="24"/>
                <w:lang w:val="en-US" w:eastAsia="zh-CN" w:bidi="ar-SA"/>
              </w:rPr>
              <w:t>胡岭</w:t>
            </w:r>
            <w:r>
              <w:rPr>
                <w:rFonts w:hint="eastAsia" w:ascii="Times New Roman" w:hAnsi="Times New Roman" w:eastAsia="仿宋_GB2312" w:cs="Times New Roman"/>
                <w:color w:val="000000"/>
                <w:kern w:val="2"/>
                <w:sz w:val="24"/>
                <w:szCs w:val="24"/>
                <w:lang w:val="en-US" w:eastAsia="zh-CN" w:bidi="ar-SA"/>
              </w:rPr>
              <w:t>村、艾岭村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50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25</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ascii="Times New Roman" w:hAnsi="Times New Roman" w:eastAsia="仿宋_GB2312" w:cs="Times New Roman"/>
                <w:color w:val="000000"/>
                <w:kern w:val="2"/>
                <w:sz w:val="24"/>
                <w:szCs w:val="24"/>
                <w:lang w:val="en-US" w:eastAsia="zh-CN" w:bidi="ar-SA"/>
              </w:rPr>
              <w:t>2</w:t>
            </w:r>
            <w:r>
              <w:rPr>
                <w:rFonts w:hint="eastAsia" w:eastAsia="仿宋_GB2312" w:cs="Times New Roman"/>
                <w:color w:val="000000"/>
                <w:kern w:val="2"/>
                <w:sz w:val="24"/>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10</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9</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（金口片区）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2027</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金水四村、金水三村、</w:t>
            </w:r>
            <w:r>
              <w:rPr>
                <w:rFonts w:hint="eastAsia" w:eastAsia="仿宋_GB2312" w:cs="Times New Roman"/>
                <w:color w:val="000000"/>
                <w:kern w:val="2"/>
                <w:sz w:val="24"/>
                <w:szCs w:val="24"/>
                <w:lang w:val="en-US" w:eastAsia="zh-CN" w:bidi="ar-SA"/>
              </w:rPr>
              <w:t>金水二村、金水一村、沿江村、长江村、赤矶山村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4</w:t>
            </w:r>
            <w:r>
              <w:rPr>
                <w:rFonts w:hint="eastAsia" w:ascii="Times New Roman" w:hAnsi="Times New Roman" w:eastAsia="仿宋_GB2312" w:cs="Times New Roman"/>
                <w:color w:val="000000"/>
                <w:kern w:val="2"/>
                <w:sz w:val="24"/>
                <w:szCs w:val="24"/>
                <w:lang w:val="en-US" w:eastAsia="zh-CN" w:bidi="ar-SA"/>
              </w:rPr>
              <w:t>4</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4</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ascii="Times New Roman" w:hAnsi="Times New Roman" w:eastAsia="仿宋_GB2312" w:cs="Times New Roman"/>
                <w:color w:val="000000"/>
                <w:kern w:val="2"/>
                <w:sz w:val="24"/>
                <w:szCs w:val="24"/>
                <w:lang w:val="en-US" w:eastAsia="zh-CN" w:bidi="ar-SA"/>
              </w:rPr>
              <w:t>2</w:t>
            </w:r>
            <w:r>
              <w:rPr>
                <w:rFonts w:hint="default" w:ascii="Times New Roman" w:hAnsi="Times New Roman" w:eastAsia="仿宋_GB2312" w:cs="Times New Roman"/>
                <w:color w:val="000000"/>
                <w:kern w:val="2"/>
                <w:sz w:val="24"/>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8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乌龙泉</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11</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8</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（乌龙泉片区）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2028</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新建村、五星村、四化村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5</w:t>
            </w:r>
            <w:r>
              <w:rPr>
                <w:rFonts w:hint="default" w:ascii="Times New Roman" w:hAnsi="Times New Roman" w:eastAsia="仿宋_GB2312" w:cs="Times New Roman"/>
                <w:color w:val="000000"/>
                <w:kern w:val="2"/>
                <w:sz w:val="24"/>
                <w:szCs w:val="24"/>
                <w:lang w:val="en-US" w:eastAsia="zh-CN" w:bidi="ar-SA"/>
              </w:rPr>
              <w:t>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default" w:ascii="Times New Roman" w:hAnsi="Times New Roman" w:eastAsia="仿宋_GB2312" w:cs="Times New Roman"/>
                <w:color w:val="000000"/>
                <w:kern w:val="2"/>
                <w:sz w:val="24"/>
                <w:szCs w:val="24"/>
                <w:lang w:val="en-US" w:eastAsia="zh-CN" w:bidi="ar-SA"/>
              </w:rPr>
              <w:t>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3</w:t>
            </w:r>
            <w:r>
              <w:rPr>
                <w:rFonts w:hint="default" w:ascii="Times New Roman" w:hAnsi="Times New Roman" w:eastAsia="仿宋_GB2312" w:cs="Times New Roman"/>
                <w:color w:val="000000"/>
                <w:kern w:val="2"/>
                <w:sz w:val="24"/>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舒安</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12</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w:t>
            </w:r>
            <w:r>
              <w:rPr>
                <w:rFonts w:hint="eastAsia" w:ascii="Times New Roman" w:hAnsi="Times New Roman" w:eastAsia="仿宋_GB2312" w:cs="Times New Roman"/>
                <w:color w:val="000000"/>
                <w:kern w:val="2"/>
                <w:sz w:val="24"/>
                <w:szCs w:val="24"/>
                <w:lang w:val="en-US" w:eastAsia="zh-CN" w:bidi="ar-SA"/>
              </w:rPr>
              <w:t>30</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（舒安片区）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2030</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八秀村、王班村、瓦窑村、嗣孟村</w:t>
            </w:r>
            <w:r>
              <w:rPr>
                <w:rFonts w:hint="eastAsia" w:eastAsia="仿宋_GB2312" w:cs="Times New Roman"/>
                <w:color w:val="000000"/>
                <w:kern w:val="2"/>
                <w:sz w:val="24"/>
                <w:szCs w:val="24"/>
                <w:lang w:val="en-US" w:eastAsia="zh-CN" w:bidi="ar-SA"/>
              </w:rPr>
              <w:t>、燎原村、彭华村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52</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37</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纸坊</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13</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8</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（纸坊片区）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2028</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狮子山村、照耀村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五里界</w:t>
            </w:r>
          </w:p>
        </w:tc>
        <w:tc>
          <w:tcPr>
            <w:tcW w:w="2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14</w:t>
            </w:r>
          </w:p>
        </w:tc>
        <w:tc>
          <w:tcPr>
            <w:tcW w:w="14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9</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（五里界片区）</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2029</w:t>
            </w:r>
          </w:p>
        </w:tc>
        <w:tc>
          <w:tcPr>
            <w:tcW w:w="1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唐</w:t>
            </w:r>
            <w:r>
              <w:rPr>
                <w:rFonts w:hint="eastAsia" w:ascii="Times New Roman" w:hAnsi="Times New Roman" w:eastAsia="仿宋_GB2312" w:cs="Times New Roman"/>
                <w:color w:val="000000"/>
                <w:kern w:val="2"/>
                <w:sz w:val="24"/>
                <w:szCs w:val="24"/>
                <w:lang w:val="en-US" w:eastAsia="zh-CN" w:bidi="ar-SA"/>
              </w:rPr>
              <w:t>涂</w:t>
            </w:r>
            <w:r>
              <w:rPr>
                <w:rFonts w:hint="default" w:ascii="Times New Roman" w:hAnsi="Times New Roman" w:eastAsia="仿宋_GB2312" w:cs="Times New Roman"/>
                <w:color w:val="000000"/>
                <w:kern w:val="2"/>
                <w:sz w:val="24"/>
                <w:szCs w:val="24"/>
                <w:lang w:val="en-US" w:eastAsia="zh-CN" w:bidi="ar-SA"/>
              </w:rPr>
              <w:t>村</w:t>
            </w:r>
            <w:r>
              <w:rPr>
                <w:rFonts w:hint="eastAsia" w:ascii="Times New Roman" w:hAnsi="Times New Roman" w:eastAsia="仿宋_GB2312" w:cs="Times New Roman"/>
                <w:color w:val="000000"/>
                <w:kern w:val="2"/>
                <w:sz w:val="24"/>
                <w:szCs w:val="24"/>
                <w:lang w:val="en-US" w:eastAsia="zh-CN" w:bidi="ar-SA"/>
              </w:rPr>
              <w:t>、锦绣村、</w:t>
            </w:r>
            <w:r>
              <w:rPr>
                <w:rFonts w:hint="default" w:ascii="Times New Roman" w:hAnsi="Times New Roman" w:eastAsia="仿宋_GB2312" w:cs="Times New Roman"/>
                <w:color w:val="000000"/>
                <w:kern w:val="2"/>
                <w:sz w:val="24"/>
                <w:szCs w:val="24"/>
                <w:lang w:val="en-US" w:eastAsia="zh-CN" w:bidi="ar-SA"/>
              </w:rPr>
              <w:t>孙家店村</w:t>
            </w:r>
            <w:r>
              <w:rPr>
                <w:rFonts w:hint="eastAsia" w:ascii="Times New Roman" w:hAnsi="Times New Roman" w:eastAsia="仿宋_GB2312" w:cs="Times New Roman"/>
                <w:color w:val="000000"/>
                <w:kern w:val="2"/>
                <w:sz w:val="24"/>
                <w:szCs w:val="24"/>
                <w:lang w:val="en-US" w:eastAsia="zh-CN" w:bidi="ar-SA"/>
              </w:rPr>
              <w:t>、</w:t>
            </w:r>
            <w:r>
              <w:rPr>
                <w:rFonts w:hint="default" w:ascii="Times New Roman" w:hAnsi="Times New Roman" w:eastAsia="仿宋_GB2312" w:cs="Times New Roman"/>
                <w:color w:val="000000"/>
                <w:kern w:val="2"/>
                <w:sz w:val="24"/>
                <w:szCs w:val="24"/>
                <w:lang w:val="en-US" w:eastAsia="zh-CN" w:bidi="ar-SA"/>
              </w:rPr>
              <w:t>李家店村</w:t>
            </w:r>
            <w:r>
              <w:rPr>
                <w:rFonts w:hint="eastAsia" w:ascii="Times New Roman" w:hAnsi="Times New Roman" w:eastAsia="仿宋_GB2312" w:cs="Times New Roman"/>
                <w:color w:val="000000"/>
                <w:kern w:val="2"/>
                <w:sz w:val="24"/>
                <w:szCs w:val="24"/>
                <w:lang w:val="en-US" w:eastAsia="zh-CN" w:bidi="ar-SA"/>
              </w:rPr>
              <w:t>、</w:t>
            </w:r>
            <w:r>
              <w:rPr>
                <w:rFonts w:hint="default" w:ascii="Times New Roman" w:hAnsi="Times New Roman" w:eastAsia="仿宋_GB2312" w:cs="Times New Roman"/>
                <w:color w:val="000000"/>
                <w:kern w:val="2"/>
                <w:sz w:val="24"/>
                <w:szCs w:val="24"/>
                <w:lang w:val="en-US" w:eastAsia="zh-CN" w:bidi="ar-SA"/>
              </w:rPr>
              <w:t>群益村</w:t>
            </w:r>
            <w:r>
              <w:rPr>
                <w:rFonts w:hint="eastAsia" w:eastAsia="仿宋_GB2312" w:cs="Times New Roman"/>
                <w:color w:val="000000"/>
                <w:kern w:val="2"/>
                <w:sz w:val="24"/>
                <w:szCs w:val="24"/>
                <w:lang w:val="en-US" w:eastAsia="zh-CN" w:bidi="ar-SA"/>
              </w:rPr>
              <w:t>、大李村、小李村、老屋汤村。</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0.5</w:t>
            </w:r>
            <w:r>
              <w:rPr>
                <w:rFonts w:hint="eastAsia" w:ascii="Times New Roman" w:hAnsi="Times New Roman" w:eastAsia="仿宋_GB2312" w:cs="Times New Roman"/>
                <w:color w:val="000000"/>
                <w:kern w:val="2"/>
                <w:sz w:val="24"/>
                <w:szCs w:val="24"/>
                <w:lang w:val="en-US" w:eastAsia="zh-CN" w:bidi="ar-SA"/>
              </w:rPr>
              <w:t>7</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7</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0.</w:t>
            </w: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80" w:hRule="atLeast"/>
        </w:trPr>
        <w:tc>
          <w:tcPr>
            <w:tcW w:w="202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小计</w:t>
            </w:r>
          </w:p>
        </w:tc>
        <w:tc>
          <w:tcPr>
            <w:tcW w:w="4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128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6.12</w:t>
            </w:r>
          </w:p>
        </w:tc>
        <w:tc>
          <w:tcPr>
            <w:tcW w:w="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3.59</w:t>
            </w: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30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2.53</w:t>
            </w:r>
          </w:p>
        </w:tc>
      </w:tr>
    </w:tbl>
    <w:p>
      <w:pPr>
        <w:pStyle w:val="8"/>
        <w:rPr>
          <w:rFonts w:hint="eastAsia"/>
          <w:lang w:val="en-US" w:eastAsia="zh-CN"/>
        </w:rPr>
      </w:pPr>
    </w:p>
    <w:p>
      <w:pPr>
        <w:pStyle w:val="24"/>
        <w:sectPr>
          <w:pgSz w:w="16838" w:h="11906" w:orient="landscape"/>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11" w:name="_Toc4333"/>
      <w:r>
        <w:rPr>
          <w:rFonts w:hint="eastAsia" w:ascii="楷体_GB2312" w:hAnsi="楷体_GB2312" w:eastAsia="楷体_GB2312" w:cs="楷体_GB2312"/>
          <w:color w:val="000000"/>
          <w:kern w:val="2"/>
          <w:sz w:val="32"/>
          <w:szCs w:val="32"/>
          <w:lang w:val="en-US" w:eastAsia="zh-CN" w:bidi="ar-SA"/>
        </w:rPr>
        <w:t>（二）年度计划</w:t>
      </w:r>
      <w:bookmarkEnd w:id="11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sectPr>
          <w:pgSz w:w="11906" w:h="16838"/>
          <w:pgMar w:top="1440" w:right="1486"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仿宋_GB2312" w:cs="Times New Roman"/>
          <w:color w:val="000000"/>
          <w:kern w:val="2"/>
          <w:sz w:val="32"/>
          <w:szCs w:val="32"/>
          <w:lang w:val="en-US" w:eastAsia="zh-CN" w:bidi="ar-SA"/>
        </w:rPr>
        <w:t>根据江夏区各街道的实际需求，配合乡村振兴等战略规划，制定项目年度安排。但考虑到高标准农田项目科学规范管理要求，与省市下达年度建设任务，实际建设过程中需结合江夏区实际，进行动态调整建设目标，确保建设计划能够落地。项目年度计划详见专栏8-专栏12。</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专栏8</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江夏区2026年度高标准农田建设计划</w:t>
      </w:r>
    </w:p>
    <w:tbl>
      <w:tblPr>
        <w:tblStyle w:val="2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4"/>
        <w:gridCol w:w="3517"/>
        <w:gridCol w:w="1543"/>
        <w:gridCol w:w="1924"/>
        <w:gridCol w:w="914"/>
        <w:gridCol w:w="860"/>
        <w:gridCol w:w="2074"/>
        <w:gridCol w:w="1376"/>
        <w:gridCol w:w="1024"/>
        <w:gridCol w:w="9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序号</w:t>
            </w:r>
          </w:p>
        </w:tc>
        <w:tc>
          <w:tcPr>
            <w:tcW w:w="11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项目名称</w:t>
            </w: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项目建设地点（乡镇）</w:t>
            </w:r>
          </w:p>
        </w:tc>
        <w:tc>
          <w:tcPr>
            <w:tcW w:w="6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项目具体行政村</w:t>
            </w:r>
          </w:p>
        </w:tc>
        <w:tc>
          <w:tcPr>
            <w:tcW w:w="175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建设规模（亩）</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地形类型</w:t>
            </w:r>
          </w:p>
        </w:tc>
        <w:tc>
          <w:tcPr>
            <w:tcW w:w="3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11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6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0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合计</w:t>
            </w:r>
          </w:p>
        </w:tc>
        <w:tc>
          <w:tcPr>
            <w:tcW w:w="9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新建</w:t>
            </w:r>
          </w:p>
        </w:tc>
        <w:tc>
          <w:tcPr>
            <w:tcW w:w="4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提质增效改建面积</w:t>
            </w: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11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6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小计</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其中：高效节水</w:t>
            </w: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1</w:t>
            </w:r>
          </w:p>
        </w:tc>
        <w:tc>
          <w:tcPr>
            <w:tcW w:w="1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2026年度江夏区高标准农田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（金水片区）</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金水办事处</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新沟大队、花篮棚大队</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3000</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3000</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平原</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3</w:t>
            </w:r>
          </w:p>
        </w:tc>
        <w:tc>
          <w:tcPr>
            <w:tcW w:w="1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2026年度江夏区高标准农田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（湖泗片区）</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湖泗街道</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大屋陈村、七海村、张林村</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3000</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3000</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丘陵</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4</w:t>
            </w:r>
          </w:p>
        </w:tc>
        <w:tc>
          <w:tcPr>
            <w:tcW w:w="1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2026年度江夏区高标准农田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（安山片区）</w:t>
            </w: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安山街道</w:t>
            </w: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马安村</w:t>
            </w: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2000</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2000</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0</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丘陵</w:t>
            </w: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新建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4" w:hRule="atLeast"/>
        </w:trPr>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b/>
                <w:bCs/>
                <w:color w:val="000000"/>
                <w:kern w:val="2"/>
                <w:sz w:val="24"/>
                <w:szCs w:val="24"/>
                <w:lang w:val="en-US" w:eastAsia="zh-CN" w:bidi="ar-SA"/>
              </w:rPr>
              <w:t>小计</w:t>
            </w:r>
          </w:p>
        </w:tc>
        <w:tc>
          <w:tcPr>
            <w:tcW w:w="11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5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8000</w:t>
            </w:r>
          </w:p>
        </w:tc>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5000</w:t>
            </w:r>
          </w:p>
        </w:tc>
        <w:tc>
          <w:tcPr>
            <w:tcW w:w="6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3000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sectPr>
          <w:pgSz w:w="16838" w:h="11906" w:orient="landscape"/>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仿宋_GB2312" w:cs="Times New Roman"/>
          <w:color w:val="000000"/>
          <w:kern w:val="2"/>
          <w:sz w:val="28"/>
          <w:szCs w:val="28"/>
          <w:lang w:val="en-US" w:eastAsia="zh-CN" w:bidi="ar-SA"/>
        </w:rPr>
        <w:t>改造提升（金水片区）：江夏区金水农场2012年度土地整治项目（2017年项目）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专栏9</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江夏区2027年度高标准农田建设计划</w:t>
      </w:r>
    </w:p>
    <w:tbl>
      <w:tblPr>
        <w:tblStyle w:val="25"/>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60"/>
        <w:gridCol w:w="2826"/>
        <w:gridCol w:w="1218"/>
        <w:gridCol w:w="2209"/>
        <w:gridCol w:w="968"/>
        <w:gridCol w:w="968"/>
        <w:gridCol w:w="2081"/>
        <w:gridCol w:w="1346"/>
        <w:gridCol w:w="1111"/>
        <w:gridCol w:w="12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序号</w:t>
            </w:r>
          </w:p>
        </w:tc>
        <w:tc>
          <w:tcPr>
            <w:tcW w:w="9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项目名称</w:t>
            </w:r>
          </w:p>
        </w:tc>
        <w:tc>
          <w:tcPr>
            <w:tcW w:w="4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项目建设地点（乡镇）</w:t>
            </w:r>
          </w:p>
        </w:tc>
        <w:tc>
          <w:tcPr>
            <w:tcW w:w="7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项目具体行政村</w:t>
            </w:r>
          </w:p>
        </w:tc>
        <w:tc>
          <w:tcPr>
            <w:tcW w:w="18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建设规模（亩）</w:t>
            </w:r>
          </w:p>
        </w:tc>
        <w:tc>
          <w:tcPr>
            <w:tcW w:w="37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地形类型</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9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7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合计</w:t>
            </w:r>
          </w:p>
        </w:tc>
        <w:tc>
          <w:tcPr>
            <w:tcW w:w="10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新建</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提质增效改建面积</w:t>
            </w: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9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7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小计</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其中：高效节水</w:t>
            </w: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37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w:t>
            </w: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7</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（郑店片区）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郑店街道</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崇岭村、段岭庙村、老屋胡村</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500</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1</w:t>
            </w:r>
            <w:r>
              <w:rPr>
                <w:rFonts w:hint="eastAsia" w:ascii="Times New Roman" w:hAnsi="Times New Roman" w:eastAsia="仿宋_GB2312" w:cs="Times New Roman"/>
                <w:color w:val="000000"/>
                <w:kern w:val="2"/>
                <w:sz w:val="24"/>
                <w:szCs w:val="24"/>
                <w:lang w:val="en-US" w:eastAsia="zh-CN" w:bidi="ar-SA"/>
              </w:rPr>
              <w:t>500</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丘陵</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w:t>
            </w: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7</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（金口片区）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金口街道</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金水四村、金水三村、金水二村、金水一村</w:t>
            </w:r>
            <w:r>
              <w:rPr>
                <w:rFonts w:hint="eastAsia" w:eastAsia="仿宋_GB2312" w:cs="Times New Roman"/>
                <w:color w:val="000000"/>
                <w:kern w:val="2"/>
                <w:sz w:val="24"/>
                <w:szCs w:val="24"/>
                <w:lang w:val="en-US" w:eastAsia="zh-CN" w:bidi="ar-SA"/>
              </w:rPr>
              <w:t>、沿江村、长江村、赤矶山村</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4</w:t>
            </w:r>
            <w:r>
              <w:rPr>
                <w:rFonts w:hint="eastAsia" w:ascii="Times New Roman" w:hAnsi="Times New Roman" w:eastAsia="仿宋_GB2312" w:cs="Times New Roman"/>
                <w:color w:val="000000"/>
                <w:kern w:val="2"/>
                <w:sz w:val="24"/>
                <w:szCs w:val="24"/>
                <w:lang w:val="en-US" w:eastAsia="zh-CN" w:bidi="ar-SA"/>
              </w:rPr>
              <w:t>400</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400</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平原</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3</w:t>
            </w: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7</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（安山片区）</w:t>
            </w: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安山街道</w:t>
            </w: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英雄村、红灯村、幸福村、灯塔村、新窑村、安山村、洪湾村</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5</w:t>
            </w:r>
            <w:r>
              <w:rPr>
                <w:rFonts w:hint="eastAsia" w:ascii="Times New Roman" w:hAnsi="Times New Roman" w:eastAsia="仿宋_GB2312" w:cs="Times New Roman"/>
                <w:color w:val="000000"/>
                <w:kern w:val="2"/>
                <w:sz w:val="24"/>
                <w:szCs w:val="24"/>
                <w:lang w:val="en-US" w:eastAsia="zh-CN" w:bidi="ar-SA"/>
              </w:rPr>
              <w:t>100</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100</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丘陵</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小计</w:t>
            </w:r>
          </w:p>
        </w:tc>
        <w:tc>
          <w:tcPr>
            <w:tcW w:w="9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4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7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13</w:t>
            </w:r>
            <w:r>
              <w:rPr>
                <w:rFonts w:hint="eastAsia" w:ascii="Times New Roman" w:hAnsi="Times New Roman" w:eastAsia="仿宋_GB2312" w:cs="Times New Roman"/>
                <w:b/>
                <w:bCs/>
                <w:color w:val="000000"/>
                <w:kern w:val="2"/>
                <w:sz w:val="24"/>
                <w:szCs w:val="24"/>
                <w:lang w:val="en-US" w:eastAsia="zh-CN" w:bidi="ar-SA"/>
              </w:rPr>
              <w:t>000</w:t>
            </w:r>
          </w:p>
        </w:tc>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7</w:t>
            </w:r>
            <w:r>
              <w:rPr>
                <w:rFonts w:hint="eastAsia" w:ascii="Times New Roman" w:hAnsi="Times New Roman" w:eastAsia="仿宋_GB2312" w:cs="Times New Roman"/>
                <w:b/>
                <w:bCs/>
                <w:color w:val="000000"/>
                <w:kern w:val="2"/>
                <w:sz w:val="24"/>
                <w:szCs w:val="24"/>
                <w:lang w:val="en-US" w:eastAsia="zh-CN" w:bidi="ar-SA"/>
              </w:rPr>
              <w:t>000</w:t>
            </w:r>
          </w:p>
        </w:tc>
        <w:tc>
          <w:tcPr>
            <w:tcW w:w="6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6</w:t>
            </w:r>
            <w:r>
              <w:rPr>
                <w:rFonts w:hint="eastAsia" w:ascii="Times New Roman" w:hAnsi="Times New Roman" w:eastAsia="仿宋_GB2312" w:cs="Times New Roman"/>
                <w:b/>
                <w:bCs/>
                <w:color w:val="000000"/>
                <w:kern w:val="2"/>
                <w:sz w:val="24"/>
                <w:szCs w:val="24"/>
                <w:lang w:val="en-US" w:eastAsia="zh-CN" w:bidi="ar-SA"/>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改造提升（郑店片区）：武汉市江夏区郑店街段岭庙基本农田土地整理项目（2012年项目）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改造提升（金口片区）：2018年度武汉市江夏区金口街金水三村一、二、三、四期耕地提质改造（旱改水）项目（2018年项目）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改造提升（安山片区）：武汉市江夏区2017年度补建高标准农田建设项目（2017年项目）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sectPr>
          <w:pgSz w:w="16838" w:h="11906" w:orient="landscape"/>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专栏10</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江夏区2028年度高标准农田建设计划</w:t>
      </w:r>
    </w:p>
    <w:tbl>
      <w:tblPr>
        <w:tblStyle w:val="25"/>
        <w:tblW w:w="499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1"/>
        <w:gridCol w:w="2943"/>
        <w:gridCol w:w="1482"/>
        <w:gridCol w:w="1970"/>
        <w:gridCol w:w="964"/>
        <w:gridCol w:w="964"/>
        <w:gridCol w:w="2146"/>
        <w:gridCol w:w="1283"/>
        <w:gridCol w:w="1107"/>
        <w:gridCol w:w="1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序号</w:t>
            </w:r>
          </w:p>
        </w:tc>
        <w:tc>
          <w:tcPr>
            <w:tcW w:w="9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项目名称</w:t>
            </w: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项目建设地点（乡镇）</w:t>
            </w:r>
          </w:p>
        </w:tc>
        <w:tc>
          <w:tcPr>
            <w:tcW w:w="6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项目具体行政村</w:t>
            </w:r>
          </w:p>
        </w:tc>
        <w:tc>
          <w:tcPr>
            <w:tcW w:w="179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建设规模（亩）</w:t>
            </w:r>
          </w:p>
        </w:tc>
        <w:tc>
          <w:tcPr>
            <w:tcW w:w="3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地形类型</w:t>
            </w:r>
          </w:p>
        </w:tc>
        <w:tc>
          <w:tcPr>
            <w:tcW w:w="43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9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6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2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合计</w:t>
            </w:r>
          </w:p>
        </w:tc>
        <w:tc>
          <w:tcPr>
            <w:tcW w:w="10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新建</w:t>
            </w:r>
          </w:p>
        </w:tc>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提质增效改建面积</w:t>
            </w: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9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6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2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小计</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其中：高效节水</w:t>
            </w:r>
          </w:p>
        </w:tc>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3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1</w:t>
            </w: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8</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（山坡片区）</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山坡街道</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绿化</w:t>
            </w:r>
            <w:r>
              <w:rPr>
                <w:rFonts w:hint="eastAsia" w:ascii="Times New Roman" w:hAnsi="Times New Roman" w:eastAsia="仿宋_GB2312" w:cs="Times New Roman"/>
                <w:color w:val="000000"/>
                <w:kern w:val="2"/>
                <w:sz w:val="24"/>
                <w:szCs w:val="24"/>
                <w:lang w:val="en-US" w:eastAsia="zh-CN" w:bidi="ar-SA"/>
              </w:rPr>
              <w:t>村、</w:t>
            </w:r>
            <w:r>
              <w:rPr>
                <w:rFonts w:hint="default" w:ascii="Times New Roman" w:hAnsi="Times New Roman" w:eastAsia="仿宋_GB2312" w:cs="Times New Roman"/>
                <w:color w:val="000000"/>
                <w:kern w:val="2"/>
                <w:sz w:val="24"/>
                <w:szCs w:val="24"/>
                <w:lang w:val="en-US" w:eastAsia="zh-CN" w:bidi="ar-SA"/>
              </w:rPr>
              <w:t>五里山村</w:t>
            </w:r>
            <w:r>
              <w:rPr>
                <w:rFonts w:hint="eastAsia" w:ascii="Times New Roman" w:hAnsi="Times New Roman" w:eastAsia="仿宋_GB2312" w:cs="Times New Roman"/>
                <w:color w:val="000000"/>
                <w:kern w:val="2"/>
                <w:sz w:val="24"/>
                <w:szCs w:val="24"/>
                <w:lang w:val="en-US" w:eastAsia="zh-CN" w:bidi="ar-SA"/>
              </w:rPr>
              <w:t>、新生村、官南村、高峰村</w:t>
            </w:r>
            <w:r>
              <w:rPr>
                <w:rFonts w:hint="eastAsia" w:eastAsia="仿宋_GB2312" w:cs="Times New Roman"/>
                <w:color w:val="000000"/>
                <w:kern w:val="2"/>
                <w:sz w:val="24"/>
                <w:szCs w:val="24"/>
                <w:lang w:val="en-US" w:eastAsia="zh-CN" w:bidi="ar-SA"/>
              </w:rPr>
              <w:t>、保福祠村、</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6800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38</w:t>
            </w:r>
            <w:r>
              <w:rPr>
                <w:rFonts w:hint="eastAsia" w:ascii="Times New Roman" w:hAnsi="Times New Roman" w:eastAsia="仿宋_GB2312" w:cs="Times New Roman"/>
                <w:color w:val="000000"/>
                <w:kern w:val="2"/>
                <w:sz w:val="24"/>
                <w:szCs w:val="24"/>
                <w:lang w:val="en-US" w:eastAsia="zh-CN" w:bidi="ar-SA"/>
              </w:rPr>
              <w:t>00</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000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丘陵</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w:t>
            </w: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8</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（纸坊片区）</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纸坊街道</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狮子山村、照耀村</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000</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丘陵</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3</w:t>
            </w: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8</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（乌龙泉片区）</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乌龙泉街道</w:t>
            </w: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新建村、五星村、四化村</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5</w:t>
            </w:r>
            <w:r>
              <w:rPr>
                <w:rFonts w:hint="eastAsia" w:ascii="Times New Roman" w:hAnsi="Times New Roman" w:eastAsia="仿宋_GB2312" w:cs="Times New Roman"/>
                <w:color w:val="000000"/>
                <w:kern w:val="2"/>
                <w:sz w:val="24"/>
                <w:szCs w:val="24"/>
                <w:lang w:val="en-US" w:eastAsia="zh-CN" w:bidi="ar-SA"/>
              </w:rPr>
              <w:t>000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000</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000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丘陵</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2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b/>
                <w:bCs/>
                <w:color w:val="000000"/>
                <w:kern w:val="2"/>
                <w:sz w:val="24"/>
                <w:szCs w:val="24"/>
                <w:lang w:val="en-US" w:eastAsia="zh-CN" w:bidi="ar-SA"/>
              </w:rPr>
              <w:t>小计</w:t>
            </w:r>
          </w:p>
        </w:tc>
        <w:tc>
          <w:tcPr>
            <w:tcW w:w="98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66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138</w:t>
            </w:r>
            <w:r>
              <w:rPr>
                <w:rFonts w:hint="eastAsia" w:ascii="Times New Roman" w:hAnsi="Times New Roman" w:eastAsia="仿宋_GB2312" w:cs="Times New Roman"/>
                <w:b/>
                <w:bCs/>
                <w:color w:val="000000"/>
                <w:kern w:val="2"/>
                <w:sz w:val="24"/>
                <w:szCs w:val="24"/>
                <w:lang w:val="en-US" w:eastAsia="zh-CN" w:bidi="ar-SA"/>
              </w:rPr>
              <w:t>00</w:t>
            </w:r>
          </w:p>
        </w:tc>
        <w:tc>
          <w:tcPr>
            <w:tcW w:w="3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7800</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6000</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改造提升（山坡片区）：江夏区山坡街官南垸高标准农田建设项目（2015年项目）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3640" w:firstLineChars="1300"/>
        <w:textAlignment w:val="auto"/>
        <w:rPr>
          <w:rFonts w:hint="default"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武汉市江夏区山坡街新生及南庄项目（2015年项目）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改造提升（乌龙泉片区）：江夏区2011年新增千亿斤粮食生产能力规划田间工程建设项目（2013年项目）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3920" w:firstLineChars="1400"/>
        <w:textAlignment w:val="auto"/>
        <w:rPr>
          <w:rFonts w:hint="default"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武汉市江夏区107国道沿线高产农田建设示范工程项目（2015年项目）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default" w:ascii="Times New Roman" w:hAnsi="Times New Roman" w:eastAsia="仿宋_GB2312" w:cs="Times New Roman"/>
          <w:color w:val="000000"/>
          <w:kern w:val="2"/>
          <w:sz w:val="28"/>
          <w:szCs w:val="28"/>
          <w:lang w:val="en-US" w:eastAsia="zh-CN" w:bidi="ar-SA"/>
        </w:rPr>
        <w:sectPr>
          <w:pgSz w:w="16838" w:h="11906" w:orient="landscape"/>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专栏11</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江夏区2029年度高标准农田建设计划</w:t>
      </w:r>
    </w:p>
    <w:tbl>
      <w:tblPr>
        <w:tblStyle w:val="25"/>
        <w:tblW w:w="499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7"/>
        <w:gridCol w:w="2833"/>
        <w:gridCol w:w="1476"/>
        <w:gridCol w:w="2324"/>
        <w:gridCol w:w="887"/>
        <w:gridCol w:w="887"/>
        <w:gridCol w:w="2077"/>
        <w:gridCol w:w="1193"/>
        <w:gridCol w:w="1143"/>
        <w:gridCol w:w="13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序号</w:t>
            </w:r>
          </w:p>
        </w:tc>
        <w:tc>
          <w:tcPr>
            <w:tcW w:w="9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项目名称</w:t>
            </w:r>
          </w:p>
        </w:tc>
        <w:tc>
          <w:tcPr>
            <w:tcW w:w="49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项目建设地点（乡镇）</w:t>
            </w:r>
          </w:p>
        </w:tc>
        <w:tc>
          <w:tcPr>
            <w:tcW w:w="7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项目具体行政村</w:t>
            </w:r>
          </w:p>
        </w:tc>
        <w:tc>
          <w:tcPr>
            <w:tcW w:w="169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建设规模（亩）</w:t>
            </w:r>
          </w:p>
        </w:tc>
        <w:tc>
          <w:tcPr>
            <w:tcW w:w="3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地形类型</w:t>
            </w:r>
          </w:p>
        </w:tc>
        <w:tc>
          <w:tcPr>
            <w:tcW w:w="4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9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7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29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合计</w:t>
            </w:r>
          </w:p>
        </w:tc>
        <w:tc>
          <w:tcPr>
            <w:tcW w:w="99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新建</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提质增效改建面积</w:t>
            </w:r>
          </w:p>
        </w:tc>
        <w:tc>
          <w:tcPr>
            <w:tcW w:w="3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9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7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29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小计</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黑体" w:hAnsi="黑体" w:eastAsia="黑体" w:cs="黑体"/>
                <w:color w:val="000000"/>
                <w:kern w:val="2"/>
                <w:sz w:val="24"/>
                <w:szCs w:val="24"/>
                <w:lang w:val="en-US" w:eastAsia="zh-CN" w:bidi="ar-SA"/>
              </w:rPr>
            </w:pPr>
            <w:r>
              <w:rPr>
                <w:rFonts w:hint="default" w:ascii="黑体" w:hAnsi="黑体" w:eastAsia="黑体" w:cs="黑体"/>
                <w:color w:val="000000"/>
                <w:kern w:val="2"/>
                <w:sz w:val="24"/>
                <w:szCs w:val="24"/>
                <w:lang w:val="en-US" w:eastAsia="zh-CN" w:bidi="ar-SA"/>
              </w:rPr>
              <w:t>其中：高效节水</w:t>
            </w: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1</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9</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（金口片区）</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金口</w:t>
            </w:r>
            <w:r>
              <w:rPr>
                <w:rFonts w:hint="default" w:ascii="Times New Roman" w:hAnsi="Times New Roman" w:eastAsia="仿宋_GB2312" w:cs="Times New Roman"/>
                <w:color w:val="000000"/>
                <w:kern w:val="2"/>
                <w:sz w:val="24"/>
                <w:szCs w:val="24"/>
                <w:lang w:val="en-US" w:eastAsia="zh-CN" w:bidi="ar-SA"/>
              </w:rPr>
              <w:t>街道</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夏山</w:t>
            </w:r>
            <w:r>
              <w:rPr>
                <w:rFonts w:hint="eastAsia" w:ascii="Times New Roman" w:hAnsi="Times New Roman" w:eastAsia="仿宋_GB2312" w:cs="Times New Roman"/>
                <w:color w:val="000000"/>
                <w:kern w:val="2"/>
                <w:sz w:val="24"/>
                <w:szCs w:val="24"/>
                <w:lang w:val="en-US" w:eastAsia="zh-CN" w:bidi="ar-SA"/>
              </w:rPr>
              <w:t>村、</w:t>
            </w:r>
            <w:r>
              <w:rPr>
                <w:rFonts w:hint="default" w:ascii="Times New Roman" w:hAnsi="Times New Roman" w:eastAsia="仿宋_GB2312" w:cs="Times New Roman"/>
                <w:color w:val="000000"/>
                <w:kern w:val="2"/>
                <w:sz w:val="24"/>
                <w:szCs w:val="24"/>
                <w:lang w:val="en-US" w:eastAsia="zh-CN" w:bidi="ar-SA"/>
              </w:rPr>
              <w:t>雷岭</w:t>
            </w:r>
            <w:r>
              <w:rPr>
                <w:rFonts w:hint="eastAsia" w:ascii="Times New Roman" w:hAnsi="Times New Roman" w:eastAsia="仿宋_GB2312" w:cs="Times New Roman"/>
                <w:color w:val="000000"/>
                <w:kern w:val="2"/>
                <w:sz w:val="24"/>
                <w:szCs w:val="24"/>
                <w:lang w:val="en-US" w:eastAsia="zh-CN" w:bidi="ar-SA"/>
              </w:rPr>
              <w:t>村、青菱村、大罾口村、西湖村</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50</w:t>
            </w:r>
            <w:r>
              <w:rPr>
                <w:rFonts w:hint="eastAsia" w:ascii="Times New Roman" w:hAnsi="Times New Roman" w:eastAsia="仿宋_GB2312" w:cs="Times New Roman"/>
                <w:color w:val="000000"/>
                <w:kern w:val="2"/>
                <w:sz w:val="24"/>
                <w:szCs w:val="24"/>
                <w:lang w:val="en-US" w:eastAsia="zh-CN" w:bidi="ar-SA"/>
              </w:rPr>
              <w:t>00</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25</w:t>
            </w:r>
            <w:r>
              <w:rPr>
                <w:rFonts w:hint="eastAsia" w:ascii="Times New Roman" w:hAnsi="Times New Roman" w:eastAsia="仿宋_GB2312" w:cs="Times New Roman"/>
                <w:color w:val="000000"/>
                <w:kern w:val="2"/>
                <w:sz w:val="24"/>
                <w:szCs w:val="24"/>
                <w:lang w:val="en-US" w:eastAsia="zh-CN" w:bidi="ar-SA"/>
              </w:rPr>
              <w:t>00</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w:t>
            </w:r>
            <w:r>
              <w:rPr>
                <w:rFonts w:hint="eastAsia" w:eastAsia="仿宋_GB2312" w:cs="Times New Roman"/>
                <w:color w:val="000000"/>
                <w:kern w:val="2"/>
                <w:sz w:val="24"/>
                <w:szCs w:val="24"/>
                <w:lang w:val="en-US" w:eastAsia="zh-CN" w:bidi="ar-SA"/>
              </w:rPr>
              <w:t>5</w:t>
            </w:r>
            <w:r>
              <w:rPr>
                <w:rFonts w:hint="eastAsia" w:ascii="Times New Roman" w:hAnsi="Times New Roman" w:eastAsia="仿宋_GB2312" w:cs="Times New Roman"/>
                <w:color w:val="000000"/>
                <w:kern w:val="2"/>
                <w:sz w:val="24"/>
                <w:szCs w:val="24"/>
                <w:lang w:val="en-US" w:eastAsia="zh-CN" w:bidi="ar-SA"/>
              </w:rPr>
              <w:t>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丘陵</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9</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（梁子湖片区）</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梁子湖管委会</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新华</w:t>
            </w:r>
            <w:r>
              <w:rPr>
                <w:rFonts w:hint="eastAsia" w:ascii="Times New Roman" w:hAnsi="Times New Roman" w:eastAsia="仿宋_GB2312" w:cs="Times New Roman"/>
                <w:color w:val="000000"/>
                <w:kern w:val="2"/>
                <w:sz w:val="24"/>
                <w:szCs w:val="24"/>
                <w:lang w:val="en-US" w:eastAsia="zh-CN" w:bidi="ar-SA"/>
              </w:rPr>
              <w:t>村、</w:t>
            </w:r>
            <w:r>
              <w:rPr>
                <w:rFonts w:hint="default" w:ascii="Times New Roman" w:hAnsi="Times New Roman" w:eastAsia="仿宋_GB2312" w:cs="Times New Roman"/>
                <w:color w:val="000000"/>
                <w:kern w:val="2"/>
                <w:sz w:val="24"/>
                <w:szCs w:val="24"/>
                <w:lang w:val="en-US" w:eastAsia="zh-CN" w:bidi="ar-SA"/>
              </w:rPr>
              <w:t>北咀</w:t>
            </w:r>
            <w:r>
              <w:rPr>
                <w:rFonts w:hint="eastAsia" w:ascii="Times New Roman" w:hAnsi="Times New Roman" w:eastAsia="仿宋_GB2312" w:cs="Times New Roman"/>
                <w:color w:val="000000"/>
                <w:kern w:val="2"/>
                <w:sz w:val="24"/>
                <w:szCs w:val="24"/>
                <w:lang w:val="en-US" w:eastAsia="zh-CN" w:bidi="ar-SA"/>
              </w:rPr>
              <w:t>村</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500</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500</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丘陵</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3</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202</w:t>
            </w:r>
            <w:r>
              <w:rPr>
                <w:rFonts w:hint="eastAsia" w:ascii="Times New Roman" w:hAnsi="Times New Roman" w:eastAsia="仿宋_GB2312" w:cs="Times New Roman"/>
                <w:color w:val="000000"/>
                <w:kern w:val="2"/>
                <w:sz w:val="24"/>
                <w:szCs w:val="24"/>
                <w:lang w:val="en-US" w:eastAsia="zh-CN" w:bidi="ar-SA"/>
              </w:rPr>
              <w:t>9</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（五里界片区）</w:t>
            </w: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五里界街道</w:t>
            </w: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唐</w:t>
            </w:r>
            <w:r>
              <w:rPr>
                <w:rFonts w:hint="eastAsia" w:ascii="Times New Roman" w:hAnsi="Times New Roman" w:eastAsia="仿宋_GB2312" w:cs="Times New Roman"/>
                <w:color w:val="000000"/>
                <w:kern w:val="2"/>
                <w:sz w:val="24"/>
                <w:szCs w:val="24"/>
                <w:lang w:val="en-US" w:eastAsia="zh-CN" w:bidi="ar-SA"/>
              </w:rPr>
              <w:t>涂</w:t>
            </w:r>
            <w:r>
              <w:rPr>
                <w:rFonts w:hint="default" w:ascii="Times New Roman" w:hAnsi="Times New Roman" w:eastAsia="仿宋_GB2312" w:cs="Times New Roman"/>
                <w:color w:val="000000"/>
                <w:kern w:val="2"/>
                <w:sz w:val="24"/>
                <w:szCs w:val="24"/>
                <w:lang w:val="en-US" w:eastAsia="zh-CN" w:bidi="ar-SA"/>
              </w:rPr>
              <w:t>村</w:t>
            </w:r>
            <w:r>
              <w:rPr>
                <w:rFonts w:hint="eastAsia" w:ascii="Times New Roman" w:hAnsi="Times New Roman" w:eastAsia="仿宋_GB2312" w:cs="Times New Roman"/>
                <w:color w:val="000000"/>
                <w:kern w:val="2"/>
                <w:sz w:val="24"/>
                <w:szCs w:val="24"/>
                <w:lang w:val="en-US" w:eastAsia="zh-CN" w:bidi="ar-SA"/>
              </w:rPr>
              <w:t>、锦绣村、</w:t>
            </w:r>
            <w:r>
              <w:rPr>
                <w:rFonts w:hint="default" w:ascii="Times New Roman" w:hAnsi="Times New Roman" w:eastAsia="仿宋_GB2312" w:cs="Times New Roman"/>
                <w:color w:val="000000"/>
                <w:kern w:val="2"/>
                <w:sz w:val="24"/>
                <w:szCs w:val="24"/>
                <w:lang w:val="en-US" w:eastAsia="zh-CN" w:bidi="ar-SA"/>
              </w:rPr>
              <w:t>孙家店村</w:t>
            </w:r>
            <w:r>
              <w:rPr>
                <w:rFonts w:hint="eastAsia" w:ascii="Times New Roman" w:hAnsi="Times New Roman" w:eastAsia="仿宋_GB2312" w:cs="Times New Roman"/>
                <w:color w:val="000000"/>
                <w:kern w:val="2"/>
                <w:sz w:val="24"/>
                <w:szCs w:val="24"/>
                <w:lang w:val="en-US" w:eastAsia="zh-CN" w:bidi="ar-SA"/>
              </w:rPr>
              <w:t>、</w:t>
            </w:r>
            <w:r>
              <w:rPr>
                <w:rFonts w:hint="default" w:ascii="Times New Roman" w:hAnsi="Times New Roman" w:eastAsia="仿宋_GB2312" w:cs="Times New Roman"/>
                <w:color w:val="000000"/>
                <w:kern w:val="2"/>
                <w:sz w:val="24"/>
                <w:szCs w:val="24"/>
                <w:lang w:val="en-US" w:eastAsia="zh-CN" w:bidi="ar-SA"/>
              </w:rPr>
              <w:t>李家店村</w:t>
            </w:r>
            <w:r>
              <w:rPr>
                <w:rFonts w:hint="eastAsia" w:ascii="Times New Roman" w:hAnsi="Times New Roman" w:eastAsia="仿宋_GB2312" w:cs="Times New Roman"/>
                <w:color w:val="000000"/>
                <w:kern w:val="2"/>
                <w:sz w:val="24"/>
                <w:szCs w:val="24"/>
                <w:lang w:val="en-US" w:eastAsia="zh-CN" w:bidi="ar-SA"/>
              </w:rPr>
              <w:t>、</w:t>
            </w:r>
            <w:r>
              <w:rPr>
                <w:rFonts w:hint="default" w:ascii="Times New Roman" w:hAnsi="Times New Roman" w:eastAsia="仿宋_GB2312" w:cs="Times New Roman"/>
                <w:color w:val="000000"/>
                <w:kern w:val="2"/>
                <w:sz w:val="24"/>
                <w:szCs w:val="24"/>
                <w:lang w:val="en-US" w:eastAsia="zh-CN" w:bidi="ar-SA"/>
              </w:rPr>
              <w:t>群益村</w:t>
            </w:r>
            <w:r>
              <w:rPr>
                <w:rFonts w:hint="eastAsia" w:ascii="Times New Roman" w:hAnsi="Times New Roman" w:eastAsia="仿宋_GB2312" w:cs="Times New Roman"/>
                <w:color w:val="000000"/>
                <w:kern w:val="2"/>
                <w:sz w:val="24"/>
                <w:szCs w:val="24"/>
                <w:lang w:val="en-US" w:eastAsia="zh-CN" w:bidi="ar-SA"/>
              </w:rPr>
              <w:t>、大李村、小李村、老屋汤村</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57</w:t>
            </w:r>
            <w:r>
              <w:rPr>
                <w:rFonts w:hint="eastAsia" w:ascii="Times New Roman" w:hAnsi="Times New Roman" w:eastAsia="仿宋_GB2312" w:cs="Times New Roman"/>
                <w:color w:val="000000"/>
                <w:kern w:val="2"/>
                <w:sz w:val="24"/>
                <w:szCs w:val="24"/>
                <w:lang w:val="en-US" w:eastAsia="zh-CN" w:bidi="ar-SA"/>
              </w:rPr>
              <w:t>00</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2</w:t>
            </w:r>
            <w:r>
              <w:rPr>
                <w:rFonts w:hint="eastAsia" w:ascii="Times New Roman" w:hAnsi="Times New Roman" w:eastAsia="仿宋_GB2312" w:cs="Times New Roman"/>
                <w:color w:val="000000"/>
                <w:kern w:val="2"/>
                <w:sz w:val="24"/>
                <w:szCs w:val="24"/>
                <w:lang w:val="en-US" w:eastAsia="zh-CN" w:bidi="ar-SA"/>
              </w:rPr>
              <w:t>700</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30</w:t>
            </w:r>
            <w:r>
              <w:rPr>
                <w:rFonts w:hint="eastAsia" w:ascii="Times New Roman" w:hAnsi="Times New Roman" w:eastAsia="仿宋_GB2312" w:cs="Times New Roman"/>
                <w:color w:val="000000"/>
                <w:kern w:val="2"/>
                <w:sz w:val="24"/>
                <w:szCs w:val="24"/>
                <w:lang w:val="en-US" w:eastAsia="zh-CN" w:bidi="ar-SA"/>
              </w:rPr>
              <w:t>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丘陵</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新建和改造提升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default" w:ascii="Times New Roman" w:hAnsi="Times New Roman" w:eastAsia="仿宋_GB2312" w:cs="Times New Roman"/>
                <w:b/>
                <w:bCs/>
                <w:color w:val="000000"/>
                <w:kern w:val="2"/>
                <w:sz w:val="24"/>
                <w:szCs w:val="24"/>
                <w:lang w:val="en-US" w:eastAsia="zh-CN" w:bidi="ar-SA"/>
              </w:rPr>
              <w:t>小计</w:t>
            </w:r>
          </w:p>
        </w:tc>
        <w:tc>
          <w:tcPr>
            <w:tcW w:w="95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78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13200</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7700</w:t>
            </w:r>
          </w:p>
        </w:tc>
        <w:tc>
          <w:tcPr>
            <w:tcW w:w="6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55</w:t>
            </w:r>
            <w:r>
              <w:rPr>
                <w:rFonts w:hint="eastAsia" w:ascii="Times New Roman" w:hAnsi="Times New Roman" w:eastAsia="仿宋_GB2312" w:cs="Times New Roman"/>
                <w:b/>
                <w:bCs/>
                <w:color w:val="000000"/>
                <w:kern w:val="2"/>
                <w:sz w:val="24"/>
                <w:szCs w:val="24"/>
                <w:lang w:val="en-US" w:eastAsia="zh-CN" w:bidi="ar-SA"/>
              </w:rPr>
              <w:t>00</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改造提升（金口片区）：江夏区2018年高标准农田补建项目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default"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改造提升（五里界片区）：武汉市江夏区五里界“四化同步”示范镇基本农田土地整理项目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default" w:ascii="Times New Roman" w:hAnsi="Times New Roman" w:eastAsia="仿宋_GB2312" w:cs="Times New Roman"/>
          <w:color w:val="000000"/>
          <w:kern w:val="2"/>
          <w:sz w:val="28"/>
          <w:szCs w:val="28"/>
          <w:lang w:val="en-US" w:eastAsia="zh-CN" w:bidi="ar-SA"/>
        </w:rPr>
        <w:sectPr>
          <w:pgSz w:w="16838" w:h="11906" w:orient="landscape"/>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专栏12</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Times New Roman" w:hAnsi="Times New Roman" w:eastAsia="仿宋_GB2312" w:cs="Times New Roman"/>
          <w:color w:val="000000"/>
          <w:kern w:val="2"/>
          <w:sz w:val="32"/>
          <w:szCs w:val="32"/>
          <w:lang w:val="en-US" w:eastAsia="zh-CN" w:bidi="ar-SA"/>
        </w:rPr>
      </w:pPr>
      <w:r>
        <w:rPr>
          <w:rFonts w:hint="eastAsia" w:ascii="方正小标宋简体" w:hAnsi="方正小标宋简体" w:eastAsia="方正小标宋简体" w:cs="方正小标宋简体"/>
          <w:color w:val="000000"/>
          <w:kern w:val="2"/>
          <w:sz w:val="44"/>
          <w:szCs w:val="44"/>
          <w:lang w:val="en-US" w:eastAsia="zh-CN" w:bidi="ar-SA"/>
        </w:rPr>
        <w:t>江夏区2030年度高标准农田建设计划</w:t>
      </w:r>
    </w:p>
    <w:tbl>
      <w:tblPr>
        <w:tblStyle w:val="25"/>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3"/>
        <w:gridCol w:w="2977"/>
        <w:gridCol w:w="1614"/>
        <w:gridCol w:w="1935"/>
        <w:gridCol w:w="828"/>
        <w:gridCol w:w="1197"/>
        <w:gridCol w:w="1923"/>
        <w:gridCol w:w="1253"/>
        <w:gridCol w:w="1119"/>
        <w:gridCol w:w="13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序号</w:t>
            </w:r>
          </w:p>
        </w:tc>
        <w:tc>
          <w:tcPr>
            <w:tcW w:w="100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项目名称</w:t>
            </w:r>
          </w:p>
        </w:tc>
        <w:tc>
          <w:tcPr>
            <w:tcW w:w="5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项目建设地点（乡镇）</w:t>
            </w:r>
          </w:p>
        </w:tc>
        <w:tc>
          <w:tcPr>
            <w:tcW w:w="6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项目具体行政村</w:t>
            </w:r>
          </w:p>
        </w:tc>
        <w:tc>
          <w:tcPr>
            <w:tcW w:w="1747"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建设规模（亩）</w:t>
            </w:r>
          </w:p>
        </w:tc>
        <w:tc>
          <w:tcPr>
            <w:tcW w:w="3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地形类型</w:t>
            </w:r>
          </w:p>
        </w:tc>
        <w:tc>
          <w:tcPr>
            <w:tcW w:w="4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10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2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合计</w:t>
            </w:r>
          </w:p>
        </w:tc>
        <w:tc>
          <w:tcPr>
            <w:tcW w:w="10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新建</w:t>
            </w:r>
          </w:p>
        </w:tc>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提质增效改建面积</w:t>
            </w:r>
          </w:p>
        </w:tc>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100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6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2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小计</w:t>
            </w: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黑体" w:hAnsi="黑体" w:eastAsia="黑体" w:cs="黑体"/>
                <w:color w:val="000000"/>
                <w:kern w:val="2"/>
                <w:sz w:val="24"/>
                <w:szCs w:val="24"/>
                <w:lang w:val="en-US" w:eastAsia="zh-CN" w:bidi="ar-SA"/>
              </w:rPr>
            </w:pPr>
            <w:r>
              <w:rPr>
                <w:rFonts w:hint="eastAsia" w:ascii="黑体" w:hAnsi="黑体" w:eastAsia="黑体" w:cs="黑体"/>
                <w:color w:val="000000"/>
                <w:kern w:val="2"/>
                <w:sz w:val="24"/>
                <w:szCs w:val="24"/>
                <w:lang w:val="en-US" w:eastAsia="zh-CN" w:bidi="ar-SA"/>
              </w:rPr>
              <w:t>其中：高效节水</w:t>
            </w:r>
          </w:p>
        </w:tc>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3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1</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w:t>
            </w:r>
            <w:r>
              <w:rPr>
                <w:rFonts w:hint="eastAsia" w:ascii="Times New Roman" w:hAnsi="Times New Roman" w:eastAsia="仿宋_GB2312" w:cs="Times New Roman"/>
                <w:color w:val="000000"/>
                <w:kern w:val="2"/>
                <w:sz w:val="24"/>
                <w:szCs w:val="24"/>
                <w:lang w:val="en-US" w:eastAsia="zh-CN" w:bidi="ar-SA"/>
              </w:rPr>
              <w:t>30</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（舒安片区）</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舒安街道</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八秀村、王班村、瓦窑村、嗣孟村</w:t>
            </w:r>
            <w:r>
              <w:rPr>
                <w:rFonts w:hint="eastAsia" w:eastAsia="仿宋_GB2312" w:cs="Times New Roman"/>
                <w:color w:val="000000"/>
                <w:kern w:val="2"/>
                <w:sz w:val="24"/>
                <w:szCs w:val="24"/>
                <w:lang w:val="en-US" w:eastAsia="zh-CN" w:bidi="ar-SA"/>
              </w:rPr>
              <w:t>、燎原村、彭华村</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5200</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37</w:t>
            </w:r>
            <w:r>
              <w:rPr>
                <w:rFonts w:hint="eastAsia" w:ascii="Times New Roman" w:hAnsi="Times New Roman" w:eastAsia="仿宋_GB2312" w:cs="Times New Roman"/>
                <w:color w:val="000000"/>
                <w:kern w:val="2"/>
                <w:sz w:val="24"/>
                <w:szCs w:val="24"/>
                <w:lang w:val="en-US" w:eastAsia="zh-CN" w:bidi="ar-SA"/>
              </w:rPr>
              <w:t>00</w:t>
            </w: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15</w:t>
            </w:r>
            <w:r>
              <w:rPr>
                <w:rFonts w:hint="eastAsia" w:ascii="Times New Roman" w:hAnsi="Times New Roman" w:eastAsia="仿宋_GB2312" w:cs="Times New Roman"/>
                <w:color w:val="000000"/>
                <w:kern w:val="2"/>
                <w:sz w:val="24"/>
                <w:szCs w:val="24"/>
                <w:lang w:val="en-US" w:eastAsia="zh-CN" w:bidi="ar-SA"/>
              </w:rPr>
              <w:t>00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丘陵</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新建和提质改造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2</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default" w:ascii="Times New Roman" w:hAnsi="Times New Roman" w:eastAsia="仿宋_GB2312" w:cs="Times New Roman"/>
                <w:color w:val="000000"/>
                <w:kern w:val="2"/>
                <w:sz w:val="24"/>
                <w:szCs w:val="24"/>
                <w:lang w:val="en-US" w:eastAsia="zh-CN" w:bidi="ar-SA"/>
              </w:rPr>
              <w:t>20</w:t>
            </w:r>
            <w:r>
              <w:rPr>
                <w:rFonts w:hint="eastAsia" w:ascii="Times New Roman" w:hAnsi="Times New Roman" w:eastAsia="仿宋_GB2312" w:cs="Times New Roman"/>
                <w:color w:val="000000"/>
                <w:kern w:val="2"/>
                <w:sz w:val="24"/>
                <w:szCs w:val="24"/>
                <w:lang w:val="en-US" w:eastAsia="zh-CN" w:bidi="ar-SA"/>
              </w:rPr>
              <w:t>30</w:t>
            </w:r>
            <w:r>
              <w:rPr>
                <w:rFonts w:hint="default" w:ascii="Times New Roman" w:hAnsi="Times New Roman" w:eastAsia="仿宋_GB2312" w:cs="Times New Roman"/>
                <w:color w:val="000000"/>
                <w:kern w:val="2"/>
                <w:sz w:val="24"/>
                <w:szCs w:val="24"/>
                <w:lang w:val="en-US" w:eastAsia="zh-CN" w:bidi="ar-SA"/>
              </w:rPr>
              <w:t>年度江夏区高标准农田</w:t>
            </w:r>
            <w:r>
              <w:rPr>
                <w:rFonts w:hint="eastAsia" w:ascii="Times New Roman" w:hAnsi="Times New Roman" w:eastAsia="仿宋_GB2312" w:cs="Times New Roman"/>
                <w:color w:val="000000"/>
                <w:kern w:val="2"/>
                <w:sz w:val="24"/>
                <w:szCs w:val="24"/>
                <w:lang w:val="en-US" w:eastAsia="zh-CN" w:bidi="ar-SA"/>
              </w:rPr>
              <w:t>新建和</w:t>
            </w:r>
            <w:r>
              <w:rPr>
                <w:rFonts w:hint="default" w:ascii="Times New Roman" w:hAnsi="Times New Roman" w:eastAsia="仿宋_GB2312" w:cs="Times New Roman"/>
                <w:color w:val="000000"/>
                <w:kern w:val="2"/>
                <w:sz w:val="24"/>
                <w:szCs w:val="24"/>
                <w:lang w:val="en-US" w:eastAsia="zh-CN" w:bidi="ar-SA"/>
              </w:rPr>
              <w:t>改造提升项目</w:t>
            </w:r>
            <w:r>
              <w:rPr>
                <w:rFonts w:hint="eastAsia" w:ascii="Times New Roman" w:hAnsi="Times New Roman" w:eastAsia="仿宋_GB2312" w:cs="Times New Roman"/>
                <w:color w:val="000000"/>
                <w:kern w:val="2"/>
                <w:sz w:val="24"/>
                <w:szCs w:val="24"/>
                <w:lang w:val="en-US" w:eastAsia="zh-CN" w:bidi="ar-SA"/>
              </w:rPr>
              <w:t>（山坡片区）</w:t>
            </w: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山坡街道</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先锋村、向阳二村、光辉村、南岸一村、大咀村</w:t>
            </w: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80</w:t>
            </w:r>
            <w:r>
              <w:rPr>
                <w:rFonts w:hint="eastAsia" w:ascii="Times New Roman" w:hAnsi="Times New Roman" w:eastAsia="仿宋_GB2312" w:cs="Times New Roman"/>
                <w:color w:val="000000"/>
                <w:kern w:val="2"/>
                <w:sz w:val="24"/>
                <w:szCs w:val="24"/>
                <w:lang w:val="en-US" w:eastAsia="zh-CN" w:bidi="ar-SA"/>
              </w:rPr>
              <w:t>00</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47</w:t>
            </w:r>
            <w:r>
              <w:rPr>
                <w:rFonts w:hint="eastAsia" w:ascii="Times New Roman" w:hAnsi="Times New Roman" w:eastAsia="仿宋_GB2312" w:cs="Times New Roman"/>
                <w:color w:val="000000"/>
                <w:kern w:val="2"/>
                <w:sz w:val="24"/>
                <w:szCs w:val="24"/>
                <w:lang w:val="en-US" w:eastAsia="zh-CN" w:bidi="ar-SA"/>
              </w:rPr>
              <w:t>00</w:t>
            </w: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color w:val="000000"/>
                <w:kern w:val="2"/>
                <w:sz w:val="24"/>
                <w:szCs w:val="24"/>
                <w:lang w:val="en-US" w:eastAsia="zh-CN" w:bidi="ar-SA"/>
              </w:rPr>
            </w:pPr>
            <w:r>
              <w:rPr>
                <w:rFonts w:hint="eastAsia" w:eastAsia="仿宋_GB2312" w:cs="Times New Roman"/>
                <w:color w:val="000000"/>
                <w:kern w:val="2"/>
                <w:sz w:val="24"/>
                <w:szCs w:val="24"/>
                <w:lang w:val="en-US" w:eastAsia="zh-CN" w:bidi="ar-SA"/>
              </w:rPr>
              <w:t>3</w:t>
            </w:r>
            <w:r>
              <w:rPr>
                <w:rFonts w:hint="eastAsia" w:ascii="Times New Roman" w:hAnsi="Times New Roman" w:eastAsia="仿宋_GB2312" w:cs="Times New Roman"/>
                <w:color w:val="000000"/>
                <w:kern w:val="2"/>
                <w:sz w:val="24"/>
                <w:szCs w:val="24"/>
                <w:lang w:val="en-US" w:eastAsia="zh-CN" w:bidi="ar-SA"/>
              </w:rPr>
              <w:t>300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丘陵</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kern w:val="2"/>
                <w:sz w:val="24"/>
                <w:szCs w:val="24"/>
                <w:lang w:val="en-US" w:eastAsia="zh-CN" w:bidi="ar-SA"/>
              </w:rPr>
              <w:t>新建和提质改造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7" w:hRule="atLeast"/>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r>
              <w:rPr>
                <w:rFonts w:hint="eastAsia" w:ascii="Times New Roman" w:hAnsi="Times New Roman" w:eastAsia="仿宋_GB2312" w:cs="Times New Roman"/>
                <w:b/>
                <w:bCs/>
                <w:color w:val="000000"/>
                <w:kern w:val="2"/>
                <w:sz w:val="24"/>
                <w:szCs w:val="24"/>
                <w:lang w:val="en-US" w:eastAsia="zh-CN" w:bidi="ar-SA"/>
              </w:rPr>
              <w:t>小计</w:t>
            </w:r>
          </w:p>
        </w:tc>
        <w:tc>
          <w:tcPr>
            <w:tcW w:w="100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5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132</w:t>
            </w:r>
            <w:r>
              <w:rPr>
                <w:rFonts w:hint="eastAsia" w:ascii="Times New Roman" w:hAnsi="Times New Roman" w:eastAsia="仿宋_GB2312" w:cs="Times New Roman"/>
                <w:b/>
                <w:bCs/>
                <w:color w:val="000000"/>
                <w:kern w:val="2"/>
                <w:sz w:val="24"/>
                <w:szCs w:val="24"/>
                <w:lang w:val="en-US" w:eastAsia="zh-CN" w:bidi="ar-SA"/>
              </w:rPr>
              <w:t>00</w:t>
            </w: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84</w:t>
            </w:r>
            <w:r>
              <w:rPr>
                <w:rFonts w:hint="eastAsia" w:ascii="Times New Roman" w:hAnsi="Times New Roman" w:eastAsia="仿宋_GB2312" w:cs="Times New Roman"/>
                <w:b/>
                <w:bCs/>
                <w:color w:val="000000"/>
                <w:kern w:val="2"/>
                <w:sz w:val="24"/>
                <w:szCs w:val="24"/>
                <w:lang w:val="en-US" w:eastAsia="zh-CN" w:bidi="ar-SA"/>
              </w:rPr>
              <w:t>00</w:t>
            </w:r>
          </w:p>
        </w:tc>
        <w:tc>
          <w:tcPr>
            <w:tcW w:w="6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default" w:ascii="Times New Roman" w:hAnsi="Times New Roman" w:eastAsia="仿宋_GB2312" w:cs="Times New Roman"/>
                <w:b/>
                <w:bCs/>
                <w:color w:val="000000"/>
                <w:kern w:val="2"/>
                <w:sz w:val="24"/>
                <w:szCs w:val="24"/>
                <w:lang w:val="en-US" w:eastAsia="zh-CN" w:bidi="ar-SA"/>
              </w:rPr>
            </w:pPr>
            <w:r>
              <w:rPr>
                <w:rFonts w:hint="eastAsia" w:eastAsia="仿宋_GB2312" w:cs="Times New Roman"/>
                <w:b/>
                <w:bCs/>
                <w:color w:val="000000"/>
                <w:kern w:val="2"/>
                <w:sz w:val="24"/>
                <w:szCs w:val="24"/>
                <w:lang w:val="en-US" w:eastAsia="zh-CN" w:bidi="ar-SA"/>
              </w:rPr>
              <w:t>48</w:t>
            </w:r>
            <w:r>
              <w:rPr>
                <w:rFonts w:hint="eastAsia" w:ascii="Times New Roman" w:hAnsi="Times New Roman" w:eastAsia="仿宋_GB2312" w:cs="Times New Roman"/>
                <w:b/>
                <w:bCs/>
                <w:color w:val="000000"/>
                <w:kern w:val="2"/>
                <w:sz w:val="24"/>
                <w:szCs w:val="24"/>
                <w:lang w:val="en-US" w:eastAsia="zh-CN" w:bidi="ar-SA"/>
              </w:rPr>
              <w:t>00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before="0" w:after="0" w:line="288" w:lineRule="exact"/>
              <w:ind w:left="0" w:leftChars="0" w:firstLine="0" w:firstLineChars="0"/>
              <w:jc w:val="center"/>
              <w:textAlignment w:val="auto"/>
              <w:rPr>
                <w:rFonts w:hint="eastAsia" w:ascii="Times New Roman" w:hAnsi="Times New Roman" w:eastAsia="仿宋_GB2312" w:cs="Times New Roman"/>
                <w:b/>
                <w:bCs/>
                <w:color w:val="000000"/>
                <w:kern w:val="2"/>
                <w:sz w:val="24"/>
                <w:szCs w:val="24"/>
                <w:lang w:val="en-US" w:eastAsia="zh-CN" w:bidi="ar-SA"/>
              </w:rPr>
            </w:pPr>
          </w:p>
        </w:tc>
      </w:tr>
    </w:tbl>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改造提升（舒安片区）：江夏区2014年新增千亿斤粮食生产能力规划田间工程建设项目（2017年项目）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560" w:firstLineChars="200"/>
        <w:textAlignment w:val="auto"/>
        <w:rPr>
          <w:rFonts w:hint="eastAsia" w:ascii="Times New Roman" w:hAnsi="Times New Roman" w:eastAsia="仿宋_GB2312" w:cs="Times New Roman"/>
          <w:color w:val="000000"/>
          <w:kern w:val="2"/>
          <w:sz w:val="28"/>
          <w:szCs w:val="28"/>
          <w:lang w:val="en-US" w:eastAsia="zh-CN" w:bidi="ar-SA"/>
        </w:rPr>
      </w:pPr>
      <w:r>
        <w:rPr>
          <w:rFonts w:hint="eastAsia" w:ascii="Times New Roman" w:hAnsi="Times New Roman" w:eastAsia="仿宋_GB2312" w:cs="Times New Roman"/>
          <w:color w:val="000000"/>
          <w:kern w:val="2"/>
          <w:sz w:val="28"/>
          <w:szCs w:val="28"/>
          <w:lang w:val="en-US" w:eastAsia="zh-CN" w:bidi="ar-SA"/>
        </w:rPr>
        <w:t>改造提升（山坡片区）：江夏区山坡街曙光高标准农田建设项目（2015年项目）</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sectPr>
          <w:pgSz w:w="16838" w:h="11906" w:orient="landscape"/>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bookmarkStart w:id="112" w:name="_Toc27972"/>
      <w:bookmarkStart w:id="113" w:name="_Toc28250"/>
      <w:r>
        <w:rPr>
          <w:rFonts w:hint="eastAsia" w:ascii="方正小标宋简体" w:hAnsi="方正小标宋简体" w:eastAsia="方正小标宋简体" w:cs="方正小标宋简体"/>
          <w:color w:val="000000"/>
          <w:kern w:val="2"/>
          <w:sz w:val="44"/>
          <w:szCs w:val="44"/>
          <w:lang w:val="en-US" w:eastAsia="zh-CN" w:bidi="ar-SA"/>
        </w:rPr>
        <w:t>第五章  建设监管和后续管护</w:t>
      </w:r>
      <w:bookmarkEnd w:id="112"/>
      <w:bookmarkEnd w:id="11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监管、验收是保证高标准农田质量的重要保证。通过建设中的有效监管、项目竣工后的认真验收，确保质量标准，达到建一片成一片的目标。建成后还需要切实做好后续管护，实现可持续利用。</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14" w:name="_Toc22574"/>
      <w:bookmarkStart w:id="115" w:name="_Toc27886"/>
      <w:r>
        <w:rPr>
          <w:rFonts w:hint="eastAsia" w:ascii="黑体" w:hAnsi="黑体" w:eastAsia="黑体" w:cs="黑体"/>
          <w:color w:val="000000"/>
          <w:kern w:val="2"/>
          <w:sz w:val="32"/>
          <w:szCs w:val="32"/>
          <w:lang w:val="en-US" w:eastAsia="zh-CN" w:bidi="ar-SA"/>
        </w:rPr>
        <w:t>一、规范建设管理</w:t>
      </w:r>
      <w:bookmarkEnd w:id="114"/>
      <w:bookmarkEnd w:id="11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16" w:name="_Toc15757"/>
      <w:r>
        <w:rPr>
          <w:rFonts w:hint="eastAsia" w:ascii="楷体_GB2312" w:hAnsi="楷体_GB2312" w:eastAsia="楷体_GB2312" w:cs="楷体_GB2312"/>
          <w:color w:val="000000"/>
          <w:kern w:val="2"/>
          <w:sz w:val="32"/>
          <w:szCs w:val="32"/>
          <w:lang w:val="en-US" w:eastAsia="zh-CN" w:bidi="ar-SA"/>
        </w:rPr>
        <w:t>（一）规范前期工作</w:t>
      </w:r>
      <w:bookmarkEnd w:id="11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发挥项目库基础支撑作用，建立健全专人负责、持续跟踪、动态调整的项目库常态化管理机制，超前谋划和提前储备高标准农田建设项目，提高年度申报项目实施成效。严格落实项目选址要求，优先在永久基本农田、“两区”及干部群众积极性高、自筹资金能力强、土地流转程度高、规模化经营程度高的地区开展高标准农田建设。对于国家有关规定明令禁止的区域，采用“一票否决”制。切实提高项目规划设计水平，聚焦项目区“种什么”“谁来种”与“谁来管”这三个关键点，认真分析农田现状和制约因素，对照高标准农田建设标准，按照“缺什么，补什么”的原则，进行“田土水路林电技管”规划，科学确定项目建设范围、内容、规模、标准，确保规划设计质量。</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17" w:name="_Toc26952"/>
      <w:r>
        <w:rPr>
          <w:rFonts w:hint="eastAsia" w:ascii="楷体_GB2312" w:hAnsi="楷体_GB2312" w:eastAsia="楷体_GB2312" w:cs="楷体_GB2312"/>
          <w:color w:val="000000"/>
          <w:kern w:val="2"/>
          <w:sz w:val="32"/>
          <w:szCs w:val="32"/>
          <w:lang w:val="en-US" w:eastAsia="zh-CN" w:bidi="ar-SA"/>
        </w:rPr>
        <w:t>（二）严控建设质量</w:t>
      </w:r>
      <w:bookmarkEnd w:id="11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按照国家、省、市农田建设项目管理、质量管理及补助资金管理等规定，进一步规范项目申报和审批、组织实施、竣工验收、监督管理等各个环节的实施办法，实现项目精细化管理。全面推行项目法人制、招标投标制、工程监理制、合同管理制，压实参建各方责任，项目法人对高标准农田建设质量负总责，承担项目测绘、勘察、设计、施工、监理、材料（设备或构配件）供应、评估评审等任务的单位依照法律法规和合同约定对各自承担的技术服务、工程和产品质量负责。落实工程质量管理责任，严格执行相关建设标准和规范，确保建设质量，任何单位和个人不得擅自修改、变更项目设计文件。建立定期调度、分析研判、通报约谈、奖优罚劣的任务落实机制，确保建设任务如期保质保量完成。</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18" w:name="_Toc10242"/>
      <w:r>
        <w:rPr>
          <w:rFonts w:hint="eastAsia" w:ascii="楷体_GB2312" w:hAnsi="楷体_GB2312" w:eastAsia="楷体_GB2312" w:cs="楷体_GB2312"/>
          <w:color w:val="000000"/>
          <w:kern w:val="2"/>
          <w:sz w:val="32"/>
          <w:szCs w:val="32"/>
          <w:lang w:val="en-US" w:eastAsia="zh-CN" w:bidi="ar-SA"/>
        </w:rPr>
        <w:t>（三）强化评价激励</w:t>
      </w:r>
      <w:bookmarkEnd w:id="11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依托布设的高标准农田耕地质量定位监测点，长期跟踪监测土壤理化性状、区域性特征等指标。按照《耕地质量等级》（</w:t>
      </w:r>
      <w:r>
        <w:rPr>
          <w:rFonts w:hint="default" w:ascii="Times New Roman" w:hAnsi="Times New Roman" w:eastAsia="仿宋_GB2312" w:cs="Times New Roman"/>
          <w:color w:val="000000"/>
          <w:kern w:val="2"/>
          <w:sz w:val="32"/>
          <w:szCs w:val="32"/>
          <w:lang w:val="en-US" w:eastAsia="zh-CN" w:bidi="ar-SA"/>
        </w:rPr>
        <w:t>GB/T33469</w:t>
      </w:r>
      <w:r>
        <w:rPr>
          <w:rFonts w:hint="eastAsia" w:ascii="Times New Roman" w:hAnsi="Times New Roman" w:eastAsia="仿宋_GB2312" w:cs="Times New Roman"/>
          <w:color w:val="000000"/>
          <w:kern w:val="2"/>
          <w:sz w:val="32"/>
          <w:szCs w:val="32"/>
          <w:lang w:val="en-US" w:eastAsia="zh-CN" w:bidi="ar-SA"/>
        </w:rPr>
        <w:t>）国家标准，在建设前后分别开展耕地质量等级变更调查，评价高标准农田粮食综合产能水平，逐步实现“建设一片、调查一片、评价一片”。定期组织开展高标准农田建设年度评价激励工作，强化评价激励结果运用，将高标准农田建设实施成效纳入地方各级党委和政府及有关部门的年度绩效考评内容，确保如期完成目标任务。</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19" w:name="_Toc26047"/>
      <w:r>
        <w:rPr>
          <w:rFonts w:hint="eastAsia" w:ascii="楷体_GB2312" w:hAnsi="楷体_GB2312" w:eastAsia="楷体_GB2312" w:cs="楷体_GB2312"/>
          <w:color w:val="000000"/>
          <w:kern w:val="2"/>
          <w:sz w:val="32"/>
          <w:szCs w:val="32"/>
          <w:lang w:val="en-US" w:eastAsia="zh-CN" w:bidi="ar-SA"/>
        </w:rPr>
        <w:t>（四）确保流程合规</w:t>
      </w:r>
      <w:bookmarkEnd w:id="11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注重项目合规性审查工作，确保项目选址、立项等工作合法合规。注重工程安全设计工作审查，保障相关建设内容安全可靠。严格执行《中华人民共和国招标投标法》《农田建设项目管理办法》及国家、省、市有关规定，规范程序、流程，依法依规推进项目招标工作，区农业农村局选定工程监理单位监督实施。严格审查勘察、设计、施工、监理等单位相关资质真实性，严厉打击挂靠资质行为。严格按照《湖北省农田建设管理工作纪律》要求，严肃工作纪律，避免违纪风险，保障队伍安全。</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20" w:name="_Toc16310"/>
      <w:r>
        <w:rPr>
          <w:rFonts w:hint="eastAsia" w:ascii="楷体_GB2312" w:hAnsi="楷体_GB2312" w:eastAsia="楷体_GB2312" w:cs="楷体_GB2312"/>
          <w:color w:val="000000"/>
          <w:kern w:val="2"/>
          <w:sz w:val="32"/>
          <w:szCs w:val="32"/>
          <w:lang w:val="en-US" w:eastAsia="zh-CN" w:bidi="ar-SA"/>
        </w:rPr>
        <w:t>（五）加强社会监督</w:t>
      </w:r>
      <w:bookmarkEnd w:id="12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尊重农民意愿，维护农民权益，保障农民知情权、参与权和监督权。按照国家、省、市有关规定，及时利用网络平台、项目公示标牌等信息渠道公开项目建设相关信息，在项目区设立规范统一的公示标牌和标志，主动接受社会和群众监督。通过宣传高标准农田建设的意义，摆样板、树典型，打造精品工程，提高高标准农田建设项目的知名度。充分发挥农民群众在项目建设中的监督作用，把群众满意不满意作为衡量建设成效的标尺。项目建设过程中，群众代表全程监督，发现问题，及时上报，形成多元参与的项目监管机制。引导农民参与高标准农田建设，支持将农民质量监督员纳入公益性岗位，加强对农民质量监督员的技术指导和业务培训。</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21" w:name="_Toc13689"/>
      <w:r>
        <w:rPr>
          <w:rFonts w:hint="eastAsia" w:ascii="楷体_GB2312" w:hAnsi="楷体_GB2312" w:eastAsia="楷体_GB2312" w:cs="楷体_GB2312"/>
          <w:color w:val="000000"/>
          <w:kern w:val="2"/>
          <w:sz w:val="32"/>
          <w:szCs w:val="32"/>
          <w:lang w:val="en-US" w:eastAsia="zh-CN" w:bidi="ar-SA"/>
        </w:rPr>
        <w:t>（六）加快信息化建设</w:t>
      </w:r>
      <w:bookmarkEnd w:id="12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高标准农田建设和使用应采用全过程信息化管理手段，实现集中统一、全程全面、实时动态的管理目标。依托</w:t>
      </w:r>
      <w:r>
        <w:rPr>
          <w:rFonts w:hint="default" w:ascii="Times New Roman" w:hAnsi="Times New Roman" w:eastAsia="仿宋_GB2312" w:cs="Times New Roman"/>
          <w:color w:val="000000"/>
          <w:kern w:val="2"/>
          <w:sz w:val="32"/>
          <w:szCs w:val="32"/>
          <w:lang w:val="en-US" w:eastAsia="zh-CN" w:bidi="ar-SA"/>
        </w:rPr>
        <w:t>5G</w:t>
      </w:r>
      <w:r>
        <w:rPr>
          <w:rFonts w:hint="eastAsia" w:ascii="Times New Roman" w:hAnsi="Times New Roman" w:eastAsia="仿宋_GB2312" w:cs="Times New Roman"/>
          <w:color w:val="000000"/>
          <w:kern w:val="2"/>
          <w:sz w:val="32"/>
          <w:szCs w:val="32"/>
          <w:lang w:val="en-US" w:eastAsia="zh-CN" w:bidi="ar-SA"/>
        </w:rPr>
        <w:t>、北斗导航技术、物联网、</w:t>
      </w:r>
      <w:r>
        <w:rPr>
          <w:rFonts w:hint="default" w:ascii="Times New Roman" w:hAnsi="Times New Roman" w:eastAsia="仿宋_GB2312" w:cs="Times New Roman"/>
          <w:color w:val="000000"/>
          <w:kern w:val="2"/>
          <w:sz w:val="32"/>
          <w:szCs w:val="32"/>
          <w:lang w:val="en-US" w:eastAsia="zh-CN" w:bidi="ar-SA"/>
        </w:rPr>
        <w:t>RFID</w:t>
      </w:r>
      <w:r>
        <w:rPr>
          <w:rFonts w:hint="eastAsia" w:ascii="Times New Roman" w:hAnsi="Times New Roman" w:eastAsia="仿宋_GB2312" w:cs="Times New Roman"/>
          <w:color w:val="000000"/>
          <w:kern w:val="2"/>
          <w:sz w:val="32"/>
          <w:szCs w:val="32"/>
          <w:lang w:val="en-US" w:eastAsia="zh-CN" w:bidi="ar-SA"/>
        </w:rPr>
        <w:t>、无线通讯等技术实现自动采集田间相关数据，保证数据真实有效，实现相关设备的动态监测（预警，短信通知，数据统计分析），从源头进行虫情、墒情预警和数据自动采集，成果真实记录可追溯，以及质量状况快速识别的信息化质量管理，实现精准定位管理。</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22" w:name="_Toc20905"/>
      <w:bookmarkStart w:id="123" w:name="_Toc23560"/>
      <w:r>
        <w:rPr>
          <w:rFonts w:hint="eastAsia" w:ascii="黑体" w:hAnsi="黑体" w:eastAsia="黑体" w:cs="黑体"/>
          <w:color w:val="000000"/>
          <w:kern w:val="2"/>
          <w:sz w:val="32"/>
          <w:szCs w:val="32"/>
          <w:lang w:val="en-US" w:eastAsia="zh-CN" w:bidi="ar-SA"/>
        </w:rPr>
        <w:t>二、统一上图入库</w:t>
      </w:r>
      <w:bookmarkEnd w:id="122"/>
      <w:bookmarkEnd w:id="12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24" w:name="_Toc11100"/>
      <w:r>
        <w:rPr>
          <w:rFonts w:hint="eastAsia" w:ascii="楷体_GB2312" w:hAnsi="楷体_GB2312" w:eastAsia="楷体_GB2312" w:cs="楷体_GB2312"/>
          <w:color w:val="000000"/>
          <w:kern w:val="2"/>
          <w:sz w:val="32"/>
          <w:szCs w:val="32"/>
          <w:lang w:val="en-US" w:eastAsia="zh-CN" w:bidi="ar-SA"/>
        </w:rPr>
        <w:t>（一）完善信息平台</w:t>
      </w:r>
      <w:bookmarkEnd w:id="12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充分利用现有资源，结合全国农田建设综合监测监管平台，以土地利用现状图为底图，全面承接高标准农田建设历史数据，统一标准规范、统一数据要求，将高标准农田建设项目规划、立项、设计、施工、验收、使用等各阶段相关信息上图入库，建成农田建设“一张图”和监管系统，实现有据可查、全程监控、精准管理、资源共享。</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25" w:name="_Toc24429"/>
      <w:r>
        <w:rPr>
          <w:rFonts w:hint="eastAsia" w:ascii="楷体_GB2312" w:hAnsi="楷体_GB2312" w:eastAsia="楷体_GB2312" w:cs="楷体_GB2312"/>
          <w:color w:val="000000"/>
          <w:kern w:val="2"/>
          <w:sz w:val="32"/>
          <w:szCs w:val="32"/>
          <w:lang w:val="en-US" w:eastAsia="zh-CN" w:bidi="ar-SA"/>
        </w:rPr>
        <w:t>（二）加强动态监管</w:t>
      </w:r>
      <w:bookmarkEnd w:id="12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综合运用航空航天遥感、卫星导航定位、地理信息系统、移动通信、区块链等现代信息技术手段，构建天空地一体的立体化监测监管体系，实现高标准农田建设的有据可查、全程监控、精准管理。做好监管数据运用，对于动态监管过程中发现的耕地“非农化”、基本农田“非粮化”等问题线索及时移交执法部门，确保建成的高标准农田数量不减少、质量不下降。</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26" w:name="_Toc23534"/>
      <w:r>
        <w:rPr>
          <w:rFonts w:hint="eastAsia" w:ascii="楷体_GB2312" w:hAnsi="楷体_GB2312" w:eastAsia="楷体_GB2312" w:cs="楷体_GB2312"/>
          <w:color w:val="000000"/>
          <w:kern w:val="2"/>
          <w:sz w:val="32"/>
          <w:szCs w:val="32"/>
          <w:lang w:val="en-US" w:eastAsia="zh-CN" w:bidi="ar-SA"/>
        </w:rPr>
        <w:t>（三）实现信息共享</w:t>
      </w:r>
      <w:bookmarkEnd w:id="12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落实国务院关于政务信息资源共享管理要求，完善部门间信息共享、对接移交和工作配合，实现高标准农田建设、保护、利用信息的互通共享。依托大数据平台，加强数据挖掘分析，为高标准农田建设管理和保护利用提供决策支撑。</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27" w:name="_Toc18367"/>
      <w:bookmarkStart w:id="128" w:name="_Toc2411"/>
      <w:r>
        <w:rPr>
          <w:rFonts w:hint="eastAsia" w:ascii="黑体" w:hAnsi="黑体" w:eastAsia="黑体" w:cs="黑体"/>
          <w:color w:val="000000"/>
          <w:kern w:val="2"/>
          <w:sz w:val="32"/>
          <w:szCs w:val="32"/>
          <w:lang w:val="en-US" w:eastAsia="zh-CN" w:bidi="ar-SA"/>
        </w:rPr>
        <w:t>三、规范竣工验收</w:t>
      </w:r>
      <w:bookmarkEnd w:id="127"/>
      <w:bookmarkEnd w:id="12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依据农业农村部、湖北省农业农村厅及武汉市农业农村局制定的高标准农田建设项目验收办法，对批准的高标准农田建设项目实施完成情况及相关管理工作进行核查验收，并作出综合评价。相关验收结果通过全国农田建设综合监测监管平台逐级上报。对竣工验收合格的项目，核发农业农村部统一格式的竣工验收合格证书。项目竣工验收后，按照高标准农田档案管理有关规定，做好项目档案的收集、整理、组卷、存档工作，并及时按照有关规定办理交付利用手续，做好登记造册，明确工程设施的所有权和使用权。需要变更权属的，及时办理变更登记发证，确保建成后的高标准农田权属清晰。</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29" w:name="_Toc8095"/>
      <w:bookmarkStart w:id="130" w:name="_Toc7682"/>
      <w:r>
        <w:rPr>
          <w:rFonts w:hint="eastAsia" w:ascii="黑体" w:hAnsi="黑体" w:eastAsia="黑体" w:cs="黑体"/>
          <w:color w:val="000000"/>
          <w:kern w:val="2"/>
          <w:sz w:val="32"/>
          <w:szCs w:val="32"/>
          <w:lang w:val="en-US" w:eastAsia="zh-CN" w:bidi="ar-SA"/>
        </w:rPr>
        <w:t>四、落实建后管护</w:t>
      </w:r>
      <w:bookmarkEnd w:id="129"/>
      <w:bookmarkEnd w:id="13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31" w:name="_Toc21769"/>
      <w:r>
        <w:rPr>
          <w:rFonts w:hint="eastAsia" w:ascii="楷体_GB2312" w:hAnsi="楷体_GB2312" w:eastAsia="楷体_GB2312" w:cs="楷体_GB2312"/>
          <w:color w:val="000000"/>
          <w:kern w:val="2"/>
          <w:sz w:val="32"/>
          <w:szCs w:val="32"/>
          <w:lang w:val="en-US" w:eastAsia="zh-CN" w:bidi="ar-SA"/>
        </w:rPr>
        <w:t>（一）明确管护标准</w:t>
      </w:r>
      <w:bookmarkEnd w:id="13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坚持建管并重，注重源头预防，健全管护制度，强化监督考核，实现高标准农田建后管护全域化、常态化、长效化的目标。建立健全建后管护机制，压实高标准农田建后管护责任，确保高标准农田建后管护有主体、有人员、有资金、有标准、有考核，确保建成的高标准农田全部纳入管护范围，确保建成的高标准农田工程设施定期维护，确保建成的高标准农田长久发挥效益。</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1.小型引水工程设施。</w:t>
      </w:r>
      <w:r>
        <w:rPr>
          <w:rFonts w:hint="eastAsia" w:ascii="Times New Roman" w:hAnsi="Times New Roman" w:eastAsia="仿宋_GB2312" w:cs="Times New Roman"/>
          <w:color w:val="000000"/>
          <w:kern w:val="2"/>
          <w:sz w:val="32"/>
          <w:szCs w:val="32"/>
          <w:lang w:val="en-US" w:eastAsia="zh-CN" w:bidi="ar-SA"/>
        </w:rPr>
        <w:t>定期检查堰坝等水源工程的启闭设施，确保启闭灵活，设施完好；保持坝顶和坝坡平整，运行安全正常。</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2.小型灌排泵站工程设施。</w:t>
      </w:r>
      <w:r>
        <w:rPr>
          <w:rFonts w:hint="eastAsia" w:ascii="Times New Roman" w:hAnsi="Times New Roman" w:eastAsia="仿宋_GB2312" w:cs="Times New Roman"/>
          <w:color w:val="000000"/>
          <w:kern w:val="2"/>
          <w:sz w:val="32"/>
          <w:szCs w:val="32"/>
          <w:lang w:val="en-US" w:eastAsia="zh-CN" w:bidi="ar-SA"/>
        </w:rPr>
        <w:t>启闭设备、机泵设备、动力设备、电气设备及附属设施定期维护检修，保证设备完好、运转安全正常。</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3.灌区末级渠系及配套建筑物设施。</w:t>
      </w:r>
      <w:r>
        <w:rPr>
          <w:rFonts w:hint="eastAsia" w:ascii="Times New Roman" w:hAnsi="Times New Roman" w:eastAsia="仿宋_GB2312" w:cs="Times New Roman"/>
          <w:color w:val="000000"/>
          <w:kern w:val="2"/>
          <w:sz w:val="32"/>
          <w:szCs w:val="32"/>
          <w:lang w:val="en-US" w:eastAsia="zh-CN" w:bidi="ar-SA"/>
        </w:rPr>
        <w:t>保持沟渠过水断面完整，沟渠畅通；保持管涵、渡槽、跌水、倒虹吸等配套建筑完好无损、运行安全正常。</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4.管道输水灌溉及喷滴灌工程设施。</w:t>
      </w:r>
      <w:r>
        <w:rPr>
          <w:rFonts w:hint="eastAsia" w:ascii="Times New Roman" w:hAnsi="Times New Roman" w:eastAsia="仿宋_GB2312" w:cs="Times New Roman"/>
          <w:color w:val="000000"/>
          <w:kern w:val="2"/>
          <w:sz w:val="32"/>
          <w:szCs w:val="32"/>
          <w:lang w:val="en-US" w:eastAsia="zh-CN" w:bidi="ar-SA"/>
        </w:rPr>
        <w:t>保持管道通畅，无漏水现象；保持给水栓、控制阀门启闭灵活，安全保护装置功能可靠，地埋管道阀门井中无积水，量测仪表盘显示正常。</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5.田间道设施。</w:t>
      </w:r>
      <w:r>
        <w:rPr>
          <w:rFonts w:hint="eastAsia" w:ascii="Times New Roman" w:hAnsi="Times New Roman" w:eastAsia="仿宋_GB2312" w:cs="Times New Roman"/>
          <w:color w:val="000000"/>
          <w:kern w:val="2"/>
          <w:sz w:val="32"/>
          <w:szCs w:val="32"/>
          <w:lang w:val="en-US" w:eastAsia="zh-CN" w:bidi="ar-SA"/>
        </w:rPr>
        <w:t>田间道管护要维持路面平整，路沿石、挡墙完好平直，无杂草，无杂物，保持畅通，路碑、标志保持完好无损，清洁卫生。</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6.灾毁修复。</w:t>
      </w:r>
      <w:r>
        <w:rPr>
          <w:rFonts w:hint="eastAsia" w:ascii="Times New Roman" w:hAnsi="Times New Roman" w:eastAsia="仿宋_GB2312" w:cs="Times New Roman"/>
          <w:color w:val="000000"/>
          <w:kern w:val="2"/>
          <w:sz w:val="32"/>
          <w:szCs w:val="32"/>
          <w:lang w:val="en-US" w:eastAsia="zh-CN" w:bidi="ar-SA"/>
        </w:rPr>
        <w:t>责任主体统筹安排灾毁修复专项资金，对因受自然灾害影响受损严重的田间基础设施给予修复，确保恢复至灾毁前状态。</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32" w:name="_Toc11696"/>
      <w:r>
        <w:rPr>
          <w:rFonts w:hint="eastAsia" w:ascii="楷体_GB2312" w:hAnsi="楷体_GB2312" w:eastAsia="楷体_GB2312" w:cs="楷体_GB2312"/>
          <w:color w:val="000000"/>
          <w:kern w:val="2"/>
          <w:sz w:val="32"/>
          <w:szCs w:val="32"/>
          <w:lang w:val="en-US" w:eastAsia="zh-CN" w:bidi="ar-SA"/>
        </w:rPr>
        <w:t>（二）明确管护职责</w:t>
      </w:r>
      <w:bookmarkEnd w:id="132"/>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按照“建管结合、建管并重”的要求及“谁使用、谁管护，谁受益、谁管护”原则，落实高标准农田管护主体和责任，健全管护机制，将建后管护落实情况纳入年度高标准农田建设评价范围。项目所在街道办事处为建后管护的监管主体，承担行政区域内高标准农田建后监管职责，负责监督、检查高标准农田工程设施管护责任的落实。村或其他经营主体是管护实施主体，要具体负责落实管护人员、对高标准农田工程设施的维修、养护和管理。高标准农田建设项目在保修范围和保修期限内发生质量问题的，施工单位应当履行保修义务，并对造成的损失承担赔偿责任。不断创新建后管护模式，积极探索委托代管、第三方购买服务等管护新模式。探索实行“田长制”“田保姆”、项目建管护一体化等方式，发挥村级组织、承包经营者在工程管护中的主体作用，努力实现“建管一体化”。相关基层服务组织要加强对管护主体的技术指导和监管。各职能部门要按照鄂水利函〔2020〕480号文件精神，履行建后管护工作监督管理职责。</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33" w:name="_Toc26868"/>
      <w:r>
        <w:rPr>
          <w:rFonts w:hint="eastAsia" w:ascii="楷体_GB2312" w:hAnsi="楷体_GB2312" w:eastAsia="楷体_GB2312" w:cs="楷体_GB2312"/>
          <w:color w:val="000000"/>
          <w:kern w:val="2"/>
          <w:sz w:val="32"/>
          <w:szCs w:val="32"/>
          <w:lang w:val="en-US" w:eastAsia="zh-CN" w:bidi="ar-SA"/>
        </w:rPr>
        <w:t>（三）压实管护任务</w:t>
      </w:r>
      <w:bookmarkEnd w:id="13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在工程设计使用年限内，重点加强项目灌排系统、农田防护、田间道、输配电等工程的管护和农田使用的巡查，确保项目区灌排通畅、田间道完好通达、各类设施及配套设施完好，能正常发挥作用并遏制耕地“非农化”、防止基本农田“非粮化”。日常管护工作由管护人员承担，包括日常巡视检查，泵站、闸门设备的日常保养维护，沟渠、沉砂池等日常清淤，防范田间道、涵洞超载超标车辆通行等。专项管护工作由管护实施主体负责，主要对较大规模的沟渠进行维修清淤、道路修整、设备更换等。在质量保证期内由施工单位负责整改和维修；因机械作业或人为故意损坏的，按照“谁破坏、谁维修”的原则，由管护实施主体责成损坏人予以修复或缴纳维修费。管护人员应经常对高标准农田进行巡查，每月对高标准农田工程设施巡查不少于两次，农忙时期每天巡查不少于一次，并建立管护台账，记录管护情况。</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34" w:name="_Toc27693"/>
      <w:r>
        <w:rPr>
          <w:rFonts w:hint="eastAsia" w:ascii="楷体_GB2312" w:hAnsi="楷体_GB2312" w:eastAsia="楷体_GB2312" w:cs="楷体_GB2312"/>
          <w:color w:val="000000"/>
          <w:kern w:val="2"/>
          <w:sz w:val="32"/>
          <w:szCs w:val="32"/>
          <w:lang w:val="en-US" w:eastAsia="zh-CN" w:bidi="ar-SA"/>
        </w:rPr>
        <w:t>（四）落实管护资金</w:t>
      </w:r>
      <w:bookmarkEnd w:id="13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立农田建设项目管护经费合理保障机制，制定管护经费标准，提高管护资金使用效益。对公益性较强的灌溉渠系、机耕路、生产桥（涵）、农田林网等，根据实际多渠道统筹相关资金支持后续运行管护。积极开展高标准农田建设项目金融保险创新试点，通过引入保险保障服务，增强抵御高标准农田建设抗风险能力。</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35" w:name="_Toc5787"/>
      <w:bookmarkStart w:id="136" w:name="_Toc19259"/>
      <w:r>
        <w:rPr>
          <w:rFonts w:hint="eastAsia" w:ascii="黑体" w:hAnsi="黑体" w:eastAsia="黑体" w:cs="黑体"/>
          <w:color w:val="000000"/>
          <w:kern w:val="2"/>
          <w:sz w:val="32"/>
          <w:szCs w:val="32"/>
          <w:lang w:val="en-US" w:eastAsia="zh-CN" w:bidi="ar-SA"/>
        </w:rPr>
        <w:t>五、严格保护利用</w:t>
      </w:r>
      <w:bookmarkEnd w:id="135"/>
      <w:bookmarkEnd w:id="13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37" w:name="_Toc13994"/>
      <w:r>
        <w:rPr>
          <w:rFonts w:hint="eastAsia" w:ascii="楷体_GB2312" w:hAnsi="楷体_GB2312" w:eastAsia="楷体_GB2312" w:cs="楷体_GB2312"/>
          <w:color w:val="000000"/>
          <w:kern w:val="2"/>
          <w:sz w:val="32"/>
          <w:szCs w:val="32"/>
          <w:lang w:val="en-US" w:eastAsia="zh-CN" w:bidi="ar-SA"/>
        </w:rPr>
        <w:t>（一）坚持良田粮用</w:t>
      </w:r>
      <w:bookmarkEnd w:id="13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已建高标准农田要及时划为永久基本农田，实行特殊保护，任何单位和个人不得损毁、擅自占用或改变用途，遏制耕地“非农化”、防止基本农田“非粮化”。完善粮食主产区利益补偿机制，健全产粮区奖补政策和农民种粮激励政策，压实粮食生产区责任，稳定粮食生产。引导高标准农田集中用于重要农产品特别是粮食生产。引导作物一年两熟以上的粮食生产功能区至少生产一季粮食，种植非粮作物的要在一季后能够恢复粮食生产。</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38" w:name="_Toc10571"/>
      <w:r>
        <w:rPr>
          <w:rFonts w:hint="eastAsia" w:ascii="楷体_GB2312" w:hAnsi="楷体_GB2312" w:eastAsia="楷体_GB2312" w:cs="楷体_GB2312"/>
          <w:color w:val="000000"/>
          <w:kern w:val="2"/>
          <w:sz w:val="32"/>
          <w:szCs w:val="32"/>
          <w:lang w:val="en-US" w:eastAsia="zh-CN" w:bidi="ar-SA"/>
        </w:rPr>
        <w:t>（二）加强农田保护</w:t>
      </w:r>
      <w:bookmarkEnd w:id="13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推行合理耕作制度，实行用地养地相结合，加强后续培肥，防止地力下降，确保可持续利用。对水毁等自然损毁的高标准农田，要纳入年度建设任务，及时进行修复或补充。严格耕地占用审批，经依法批准占用高标准农田的，要及时补充，确保高标准农田数量不减少、质量不降低。严禁将不达标污水排入农田，将生活垃圾、工业废弃物等倾倒、排放、存放到农田。严禁在高标准农田建成区域发展林果业和挖塘养鱼，种植苗木、草皮等用于绿化装饰以及其他破坏耕作层的植物，挖湖造景、建设绿化带，新增占用高标准农田建成区域建设畜禽养殖设施、水产养殖设施和破坏耕作层的种植业设施。</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39" w:name="_Toc32652"/>
      <w:r>
        <w:rPr>
          <w:rFonts w:hint="eastAsia" w:ascii="楷体_GB2312" w:hAnsi="楷体_GB2312" w:eastAsia="楷体_GB2312" w:cs="楷体_GB2312"/>
          <w:color w:val="000000"/>
          <w:kern w:val="2"/>
          <w:sz w:val="32"/>
          <w:szCs w:val="32"/>
          <w:lang w:val="en-US" w:eastAsia="zh-CN" w:bidi="ar-SA"/>
        </w:rPr>
        <w:t>（三）强化改造提升</w:t>
      </w:r>
      <w:bookmarkEnd w:id="13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在确保完成新增高标准农田建设任务的基础上，支持各区结合本地区耕地资源、水资源和农业生产实际，分年度、分类别、分区域有序推进已建高标准农田的改造提升，重点对灌溉渠系、机耕路、生产桥（涵）、农田林网等公益性强、损耗性大、使用频率高的农田基础设施进行改造提升。对于高标准农田范围未覆盖的点状农田水利设施，鼓励各区通过小型农田水利设施建设予以改造提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pStyle w:val="2"/>
        <w:rPr>
          <w:rFonts w:hint="default" w:ascii="Times New Roman" w:hAnsi="Times New Roman" w:eastAsia="仿宋_GB2312" w:cs="Times New Roman"/>
          <w:color w:val="000000"/>
          <w:kern w:val="2"/>
          <w:sz w:val="32"/>
          <w:szCs w:val="32"/>
          <w:lang w:val="en-US" w:eastAsia="zh-CN" w:bidi="ar-SA"/>
        </w:rPr>
      </w:pPr>
    </w:p>
    <w:p>
      <w:pPr>
        <w:rPr>
          <w:rFonts w:hint="default" w:ascii="Times New Roman" w:hAnsi="Times New Roman" w:eastAsia="仿宋_GB2312" w:cs="Times New Roman"/>
          <w:color w:val="000000"/>
          <w:kern w:val="2"/>
          <w:sz w:val="32"/>
          <w:szCs w:val="32"/>
          <w:lang w:val="en-US" w:eastAsia="zh-CN" w:bidi="ar-SA"/>
        </w:rPr>
      </w:pPr>
    </w:p>
    <w:p>
      <w:pPr>
        <w:pStyle w:val="2"/>
        <w:rPr>
          <w:rFonts w:hint="default" w:ascii="Times New Roman" w:hAnsi="Times New Roman" w:eastAsia="仿宋_GB2312" w:cs="Times New Roman"/>
          <w:color w:val="000000"/>
          <w:kern w:val="2"/>
          <w:sz w:val="32"/>
          <w:szCs w:val="32"/>
          <w:lang w:val="en-US" w:eastAsia="zh-CN" w:bidi="ar-SA"/>
        </w:rPr>
      </w:pPr>
    </w:p>
    <w:p>
      <w:pPr>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default" w:ascii="方正小标宋简体" w:hAnsi="方正小标宋简体" w:eastAsia="方正小标宋简体" w:cs="方正小标宋简体"/>
          <w:color w:val="000000"/>
          <w:kern w:val="2"/>
          <w:sz w:val="44"/>
          <w:szCs w:val="44"/>
          <w:lang w:val="en-US" w:eastAsia="zh-CN" w:bidi="ar-SA"/>
        </w:rPr>
      </w:pPr>
      <w:bookmarkStart w:id="140" w:name="_Toc1742"/>
      <w:bookmarkStart w:id="141" w:name="_Toc19340"/>
      <w:r>
        <w:rPr>
          <w:rFonts w:hint="eastAsia" w:ascii="方正小标宋简体" w:hAnsi="方正小标宋简体" w:eastAsia="方正小标宋简体" w:cs="方正小标宋简体"/>
          <w:color w:val="000000"/>
          <w:kern w:val="2"/>
          <w:sz w:val="44"/>
          <w:szCs w:val="44"/>
          <w:lang w:val="en-US" w:eastAsia="zh-CN" w:bidi="ar-SA"/>
        </w:rPr>
        <w:t>第六章  投资估算和效益分析</w:t>
      </w:r>
      <w:bookmarkEnd w:id="140"/>
      <w:bookmarkEnd w:id="14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bookmarkStart w:id="142" w:name="_Toc12212"/>
      <w:bookmarkStart w:id="143" w:name="_Toc2890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一、投资标准</w:t>
      </w:r>
      <w:bookmarkEnd w:id="142"/>
      <w:bookmarkEnd w:id="14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根据《全国高标准农田建设规划（2021-2030年）》《湖北省高标准农田建设规划（2022-2030年）》《武汉市高标准农田建设规划（2022-2030年）》要求，综合考虑江夏区建设成本、物价波动、政府投入能力和多元筹资渠道等实际情况，充分体现不同区域、不同类型高标准农田的亩均投资水平差异，合理确定江夏区高标准农田亩均投资标准，其中：平原地区新建高标准农田建设项目亩均投资标准逐步提高至3500元，丘陵地区新建高标准农田建设项目亩均投资标准逐步提高至4000元；平原地区改造提升高标准农田建设项目亩均投资标准逐步提高至3000元，丘陵地区改造提升高标准农田建设项目亩均投资标准逐步提高至3500元。</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黑体" w:hAnsi="黑体" w:eastAsia="黑体" w:cs="黑体"/>
          <w:color w:val="000000"/>
          <w:kern w:val="2"/>
          <w:sz w:val="32"/>
          <w:szCs w:val="32"/>
          <w:lang w:val="en-US" w:eastAsia="zh-CN" w:bidi="ar-SA"/>
        </w:rPr>
      </w:pPr>
      <w:bookmarkStart w:id="144" w:name="_Toc5090"/>
      <w:bookmarkStart w:id="145" w:name="_Toc19825"/>
      <w:r>
        <w:rPr>
          <w:rFonts w:hint="eastAsia" w:ascii="黑体" w:hAnsi="黑体" w:eastAsia="黑体" w:cs="黑体"/>
          <w:color w:val="000000"/>
          <w:kern w:val="2"/>
          <w:sz w:val="32"/>
          <w:szCs w:val="32"/>
          <w:lang w:val="en-US" w:eastAsia="zh-CN" w:bidi="ar-SA"/>
        </w:rPr>
        <w:t>二、投资估算与资金筹措</w:t>
      </w:r>
      <w:bookmarkEnd w:id="144"/>
      <w:bookmarkEnd w:id="14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46" w:name="_Toc28043"/>
      <w:r>
        <w:rPr>
          <w:rFonts w:hint="eastAsia" w:ascii="楷体_GB2312" w:hAnsi="楷体_GB2312" w:eastAsia="楷体_GB2312" w:cs="楷体_GB2312"/>
          <w:color w:val="000000"/>
          <w:kern w:val="2"/>
          <w:sz w:val="32"/>
          <w:szCs w:val="32"/>
          <w:lang w:val="en-US" w:eastAsia="zh-CN" w:bidi="ar-SA"/>
        </w:rPr>
        <w:t>（一）投资估算</w:t>
      </w:r>
      <w:bookmarkEnd w:id="14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按照江夏区</w:t>
      </w:r>
      <w:r>
        <w:rPr>
          <w:rFonts w:hint="default" w:ascii="Times New Roman" w:hAnsi="Times New Roman" w:eastAsia="仿宋_GB2312" w:cs="Times New Roman"/>
          <w:color w:val="000000"/>
          <w:kern w:val="2"/>
          <w:sz w:val="32"/>
          <w:szCs w:val="32"/>
          <w:highlight w:val="none"/>
          <w:lang w:val="en-US" w:eastAsia="zh-CN" w:bidi="ar-SA"/>
        </w:rPr>
        <w:t>202</w:t>
      </w:r>
      <w:r>
        <w:rPr>
          <w:rFonts w:hint="eastAsia" w:ascii="Times New Roman" w:hAnsi="Times New Roman" w:eastAsia="仿宋_GB2312" w:cs="Times New Roman"/>
          <w:color w:val="000000"/>
          <w:kern w:val="2"/>
          <w:sz w:val="32"/>
          <w:szCs w:val="32"/>
          <w:highlight w:val="none"/>
          <w:lang w:val="en-US" w:eastAsia="zh-CN" w:bidi="ar-SA"/>
        </w:rPr>
        <w:t>6-</w:t>
      </w:r>
      <w:r>
        <w:rPr>
          <w:rFonts w:hint="default" w:ascii="Times New Roman" w:hAnsi="Times New Roman" w:eastAsia="仿宋_GB2312" w:cs="Times New Roman"/>
          <w:color w:val="000000"/>
          <w:kern w:val="2"/>
          <w:sz w:val="32"/>
          <w:szCs w:val="32"/>
          <w:highlight w:val="none"/>
          <w:lang w:val="en-US" w:eastAsia="zh-CN" w:bidi="ar-SA"/>
        </w:rPr>
        <w:t>2030</w:t>
      </w:r>
      <w:r>
        <w:rPr>
          <w:rFonts w:hint="eastAsia" w:ascii="Times New Roman" w:hAnsi="Times New Roman" w:eastAsia="仿宋_GB2312" w:cs="Times New Roman"/>
          <w:color w:val="000000"/>
          <w:kern w:val="2"/>
          <w:sz w:val="32"/>
          <w:szCs w:val="32"/>
          <w:highlight w:val="none"/>
          <w:lang w:val="en-US" w:eastAsia="zh-CN" w:bidi="ar-SA"/>
        </w:rPr>
        <w:t>年高标准农田建设项目储备库测算，</w:t>
      </w:r>
      <w:r>
        <w:rPr>
          <w:rFonts w:hint="default" w:ascii="Times New Roman" w:hAnsi="Times New Roman" w:eastAsia="仿宋_GB2312" w:cs="Times New Roman"/>
          <w:color w:val="000000"/>
          <w:kern w:val="2"/>
          <w:sz w:val="32"/>
          <w:szCs w:val="32"/>
          <w:highlight w:val="none"/>
          <w:lang w:val="en-US" w:eastAsia="zh-CN" w:bidi="ar-SA"/>
        </w:rPr>
        <w:t>2026</w:t>
      </w:r>
      <w:r>
        <w:rPr>
          <w:rFonts w:hint="eastAsia" w:ascii="Times New Roman" w:hAnsi="Times New Roman" w:eastAsia="仿宋_GB2312" w:cs="Times New Roman"/>
          <w:color w:val="000000"/>
          <w:kern w:val="2"/>
          <w:sz w:val="32"/>
          <w:szCs w:val="32"/>
          <w:highlight w:val="none"/>
          <w:lang w:val="en-US" w:eastAsia="zh-CN" w:bidi="ar-SA"/>
        </w:rPr>
        <w:t>-</w:t>
      </w:r>
      <w:r>
        <w:rPr>
          <w:rFonts w:hint="default" w:ascii="Times New Roman" w:hAnsi="Times New Roman" w:eastAsia="仿宋_GB2312" w:cs="Times New Roman"/>
          <w:color w:val="000000"/>
          <w:kern w:val="2"/>
          <w:sz w:val="32"/>
          <w:szCs w:val="32"/>
          <w:highlight w:val="none"/>
          <w:lang w:val="en-US" w:eastAsia="zh-CN" w:bidi="ar-SA"/>
        </w:rPr>
        <w:t>2030</w:t>
      </w:r>
      <w:r>
        <w:rPr>
          <w:rFonts w:hint="eastAsia" w:ascii="Times New Roman" w:hAnsi="Times New Roman" w:eastAsia="仿宋_GB2312" w:cs="Times New Roman"/>
          <w:color w:val="000000"/>
          <w:kern w:val="2"/>
          <w:sz w:val="32"/>
          <w:szCs w:val="32"/>
          <w:highlight w:val="none"/>
          <w:lang w:val="en-US" w:eastAsia="zh-CN" w:bidi="ar-SA"/>
        </w:rPr>
        <w:t>年投资约为</w:t>
      </w:r>
      <w:r>
        <w:rPr>
          <w:rFonts w:hint="eastAsia" w:eastAsia="仿宋_GB2312" w:cs="Times New Roman"/>
          <w:color w:val="000000"/>
          <w:kern w:val="2"/>
          <w:sz w:val="32"/>
          <w:szCs w:val="32"/>
          <w:highlight w:val="none"/>
          <w:lang w:val="en-US" w:eastAsia="zh-CN" w:bidi="ar-SA"/>
        </w:rPr>
        <w:t>3.4亿</w:t>
      </w:r>
      <w:r>
        <w:rPr>
          <w:rFonts w:hint="eastAsia" w:ascii="Times New Roman" w:hAnsi="Times New Roman" w:eastAsia="仿宋_GB2312" w:cs="Times New Roman"/>
          <w:color w:val="000000"/>
          <w:kern w:val="2"/>
          <w:sz w:val="32"/>
          <w:szCs w:val="32"/>
          <w:highlight w:val="none"/>
          <w:lang w:val="en-US" w:eastAsia="zh-CN" w:bidi="ar-SA"/>
        </w:rPr>
        <w:t>元。</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47" w:name="_Toc22907"/>
      <w:r>
        <w:rPr>
          <w:rFonts w:hint="eastAsia" w:ascii="楷体_GB2312" w:hAnsi="楷体_GB2312" w:eastAsia="楷体_GB2312" w:cs="楷体_GB2312"/>
          <w:color w:val="000000"/>
          <w:kern w:val="2"/>
          <w:sz w:val="32"/>
          <w:szCs w:val="32"/>
          <w:lang w:val="en-US" w:eastAsia="zh-CN" w:bidi="ar-SA"/>
        </w:rPr>
        <w:t>（二）资金筹措</w:t>
      </w:r>
      <w:bookmarkEnd w:id="14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江夏区政府要做到专款专用、管理到位，确保高标准农田建设资金的及时拨付。引导建立多元化的融资渠道，建立适应市场经济要求的利益分配机制，调动全社会的积极性，吸纳社会更多的资金投入到高标准农田建设活动，以推进工程建设目标的实现。</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1.财政资金投入。一是</w:t>
      </w:r>
      <w:r>
        <w:rPr>
          <w:rFonts w:hint="eastAsia" w:ascii="Times New Roman" w:hAnsi="Times New Roman" w:eastAsia="仿宋_GB2312" w:cs="Times New Roman"/>
          <w:color w:val="000000"/>
          <w:kern w:val="2"/>
          <w:sz w:val="32"/>
          <w:szCs w:val="32"/>
          <w:lang w:val="en-US" w:eastAsia="zh-CN" w:bidi="ar-SA"/>
        </w:rPr>
        <w:t>积极争取中央、省、市财政对高标准农田建设的支持。</w:t>
      </w:r>
      <w:r>
        <w:rPr>
          <w:rFonts w:hint="eastAsia" w:ascii="Times New Roman" w:hAnsi="Times New Roman" w:eastAsia="仿宋_GB2312" w:cs="Times New Roman"/>
          <w:b/>
          <w:bCs/>
          <w:color w:val="000000"/>
          <w:kern w:val="2"/>
          <w:sz w:val="32"/>
          <w:szCs w:val="32"/>
          <w:lang w:val="en-US" w:eastAsia="zh-CN" w:bidi="ar-SA"/>
        </w:rPr>
        <w:t>二是</w:t>
      </w:r>
      <w:r>
        <w:rPr>
          <w:rFonts w:hint="eastAsia" w:eastAsia="仿宋_GB2312" w:cs="Times New Roman"/>
          <w:color w:val="000000"/>
          <w:kern w:val="2"/>
          <w:sz w:val="32"/>
          <w:szCs w:val="32"/>
          <w:lang w:val="en-US" w:eastAsia="zh-CN" w:bidi="ar-SA"/>
        </w:rPr>
        <w:t>区级财政对高标准农田建设给予适当补助</w:t>
      </w:r>
      <w:r>
        <w:rPr>
          <w:rFonts w:hint="eastAsia" w:ascii="Times New Roman" w:hAnsi="Times New Roman" w:eastAsia="仿宋_GB2312" w:cs="Times New Roman"/>
          <w:color w:val="000000"/>
          <w:kern w:val="2"/>
          <w:sz w:val="32"/>
          <w:szCs w:val="32"/>
          <w:lang w:val="en-US" w:eastAsia="zh-CN" w:bidi="ar-SA"/>
        </w:rPr>
        <w:t>。</w:t>
      </w:r>
      <w:r>
        <w:rPr>
          <w:rFonts w:hint="eastAsia" w:eastAsia="仿宋_GB2312" w:cs="Times New Roman"/>
          <w:color w:val="000000"/>
          <w:kern w:val="2"/>
          <w:sz w:val="32"/>
          <w:szCs w:val="32"/>
          <w:lang w:val="en-US" w:eastAsia="zh-CN" w:bidi="ar-SA"/>
        </w:rPr>
        <w:t>三</w:t>
      </w:r>
      <w:r>
        <w:rPr>
          <w:rFonts w:hint="eastAsia" w:ascii="Times New Roman" w:hAnsi="Times New Roman" w:eastAsia="仿宋_GB2312" w:cs="Times New Roman"/>
          <w:b/>
          <w:bCs/>
          <w:color w:val="000000"/>
          <w:kern w:val="2"/>
          <w:sz w:val="32"/>
          <w:szCs w:val="32"/>
          <w:lang w:val="en-US" w:eastAsia="zh-CN" w:bidi="ar-SA"/>
        </w:rPr>
        <w:t>是</w:t>
      </w:r>
      <w:r>
        <w:rPr>
          <w:rFonts w:hint="eastAsia" w:ascii="Times New Roman" w:hAnsi="Times New Roman" w:eastAsia="仿宋_GB2312" w:cs="Times New Roman"/>
          <w:color w:val="000000"/>
          <w:kern w:val="2"/>
          <w:sz w:val="32"/>
          <w:szCs w:val="32"/>
          <w:lang w:val="en-US" w:eastAsia="zh-CN" w:bidi="ar-SA"/>
        </w:rPr>
        <w:t>加强资金使用管理和全过程绩效管理，提高资金使用效益，保障高标准农田建设资金。</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2.多元化资金投入。</w:t>
      </w:r>
      <w:r>
        <w:rPr>
          <w:rFonts w:hint="eastAsia" w:ascii="Times New Roman" w:hAnsi="Times New Roman" w:eastAsia="仿宋_GB2312" w:cs="Times New Roman"/>
          <w:color w:val="000000"/>
          <w:kern w:val="2"/>
          <w:sz w:val="32"/>
          <w:szCs w:val="32"/>
          <w:lang w:val="en-US" w:eastAsia="zh-CN" w:bidi="ar-SA"/>
        </w:rPr>
        <w:t>发挥财政性投入引导和撬动作用，采取投资补助、以奖代补、财政贴息等多种方式支持高标准农田建设。综合运用各类激励政策，有序引导金融和社会资本投入高标准农田建设，鼓励农民和农村集体经济组织自主筹资投劳。在严格规范政府债务管理的同时，鼓励开发性、政策性金融机构结合职能定位和业务范围支持高标准农田建设。</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default" w:ascii="黑体" w:hAnsi="黑体" w:eastAsia="黑体" w:cs="黑体"/>
          <w:color w:val="000000"/>
          <w:kern w:val="2"/>
          <w:sz w:val="32"/>
          <w:szCs w:val="32"/>
          <w:lang w:val="en-US" w:eastAsia="zh-CN" w:bidi="ar-SA"/>
        </w:rPr>
      </w:pPr>
      <w:bookmarkStart w:id="148" w:name="_Toc18526"/>
      <w:bookmarkStart w:id="149" w:name="_Toc4803"/>
      <w:r>
        <w:rPr>
          <w:rFonts w:hint="eastAsia" w:ascii="黑体" w:hAnsi="黑体" w:eastAsia="黑体" w:cs="黑体"/>
          <w:color w:val="000000"/>
          <w:kern w:val="2"/>
          <w:sz w:val="32"/>
          <w:szCs w:val="32"/>
          <w:lang w:val="en-US" w:eastAsia="zh-CN" w:bidi="ar-SA"/>
        </w:rPr>
        <w:t>三、效益分析</w:t>
      </w:r>
      <w:bookmarkEnd w:id="148"/>
      <w:bookmarkEnd w:id="14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50" w:name="_Toc23885"/>
      <w:r>
        <w:rPr>
          <w:rFonts w:hint="eastAsia" w:ascii="楷体_GB2312" w:hAnsi="楷体_GB2312" w:eastAsia="楷体_GB2312" w:cs="楷体_GB2312"/>
          <w:color w:val="000000"/>
          <w:kern w:val="2"/>
          <w:sz w:val="32"/>
          <w:szCs w:val="32"/>
          <w:lang w:val="en-US" w:eastAsia="zh-CN" w:bidi="ar-SA"/>
        </w:rPr>
        <w:t>（一）经济效益</w:t>
      </w:r>
      <w:bookmarkEnd w:id="15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b/>
          <w:bCs/>
          <w:color w:val="000000"/>
          <w:kern w:val="2"/>
          <w:sz w:val="32"/>
          <w:szCs w:val="32"/>
          <w:lang w:val="en-US" w:eastAsia="zh-CN" w:bidi="ar-SA"/>
        </w:rPr>
        <w:t>1.提高粮食综合生产能力。</w:t>
      </w:r>
      <w:r>
        <w:rPr>
          <w:rFonts w:hint="eastAsia" w:ascii="Times New Roman" w:hAnsi="Times New Roman" w:eastAsia="仿宋_GB2312" w:cs="Times New Roman"/>
          <w:color w:val="000000"/>
          <w:kern w:val="2"/>
          <w:sz w:val="32"/>
          <w:szCs w:val="32"/>
          <w:lang w:val="en-US" w:eastAsia="zh-CN" w:bidi="ar-SA"/>
        </w:rPr>
        <w:t>根据江夏区高标准农田建设实践结果，规划任务完成后，高标准农田亩均预计可提高粮</w:t>
      </w:r>
      <w:r>
        <w:rPr>
          <w:rFonts w:hint="eastAsia" w:eastAsia="仿宋_GB2312" w:cs="Times New Roman"/>
          <w:color w:val="000000"/>
          <w:kern w:val="2"/>
          <w:sz w:val="32"/>
          <w:szCs w:val="32"/>
          <w:highlight w:val="none"/>
          <w:lang w:val="en-US" w:eastAsia="zh-CN" w:bidi="ar-SA"/>
        </w:rPr>
        <w:t>5%-10%</w:t>
      </w:r>
      <w:r>
        <w:rPr>
          <w:rFonts w:hint="eastAsia"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2.节约农田投入成本。</w:t>
      </w:r>
      <w:r>
        <w:rPr>
          <w:rFonts w:hint="eastAsia" w:ascii="Times New Roman" w:hAnsi="Times New Roman" w:eastAsia="仿宋_GB2312" w:cs="Times New Roman"/>
          <w:color w:val="000000"/>
          <w:kern w:val="2"/>
          <w:sz w:val="32"/>
          <w:szCs w:val="32"/>
          <w:lang w:val="en-US" w:eastAsia="zh-CN" w:bidi="ar-SA"/>
        </w:rPr>
        <w:t>高标准农田建成后，节水、节肥、节药等亩均增收节支约500元以上。</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3.促进优质特色农业发展。</w:t>
      </w:r>
      <w:r>
        <w:rPr>
          <w:rFonts w:hint="eastAsia" w:ascii="Times New Roman" w:hAnsi="Times New Roman" w:eastAsia="仿宋_GB2312" w:cs="Times New Roman"/>
          <w:color w:val="000000"/>
          <w:kern w:val="2"/>
          <w:sz w:val="32"/>
          <w:szCs w:val="32"/>
          <w:lang w:val="en-US" w:eastAsia="zh-CN" w:bidi="ar-SA"/>
        </w:rPr>
        <w:t>种植优质特色农产品，增加的产值更多，直接促进农民增收。高标准农田建成后可明显改善生产条件，田块面积和集中连片规模的扩大，使农事活动的机械化作业更加便利，能够大幅度提高劳动生产率。同时，促进农业生产结构的调整，使分散经营向规模化经营转变，加快农业发展方式转变，为现代农业体系的建设奠定坚实基础。</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51" w:name="_Toc19625"/>
      <w:r>
        <w:rPr>
          <w:rFonts w:hint="eastAsia" w:ascii="楷体_GB2312" w:hAnsi="楷体_GB2312" w:eastAsia="楷体_GB2312" w:cs="楷体_GB2312"/>
          <w:color w:val="000000"/>
          <w:kern w:val="2"/>
          <w:sz w:val="32"/>
          <w:szCs w:val="32"/>
          <w:lang w:val="en-US" w:eastAsia="zh-CN" w:bidi="ar-SA"/>
        </w:rPr>
        <w:t>（二）社会效益</w:t>
      </w:r>
      <w:bookmarkEnd w:id="15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1.增强粮食安全保障能力。</w:t>
      </w:r>
      <w:r>
        <w:rPr>
          <w:rFonts w:hint="eastAsia" w:ascii="Times New Roman" w:hAnsi="Times New Roman" w:eastAsia="仿宋_GB2312" w:cs="Times New Roman"/>
          <w:color w:val="000000"/>
          <w:kern w:val="2"/>
          <w:sz w:val="32"/>
          <w:szCs w:val="32"/>
          <w:lang w:val="en-US" w:eastAsia="zh-CN" w:bidi="ar-SA"/>
        </w:rPr>
        <w:t>高标准农田建成后，夯实农田基础设施，提高水土资源利用效率和防灾抗灾减灾能力，形成旱涝保收、稳产高产的粮田，稳定保障全区粮食产能，确保粮食绝对安全。规划的高标准农田建成后，江夏区旱涝保收、高产稳产农田占耕地的比重达到新的水平，农业生产抗御自然灾害的能力显著增强，减轻由于灾害引起的产量波动。同时能够稳定农产品的市场供给，即便部分高标准农田平常用于特色农产品的生产，当粮食供给出现短缺时可改种粮食，这对保障粮食安全、稳定重要农产品的价格和促进社会经济协调发展意义重大。</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2.推动农业高质量发展。</w:t>
      </w:r>
      <w:r>
        <w:rPr>
          <w:rFonts w:hint="eastAsia" w:ascii="Times New Roman" w:hAnsi="Times New Roman" w:eastAsia="仿宋_GB2312" w:cs="Times New Roman"/>
          <w:color w:val="000000"/>
          <w:kern w:val="2"/>
          <w:sz w:val="32"/>
          <w:szCs w:val="32"/>
          <w:lang w:val="en-US" w:eastAsia="zh-CN" w:bidi="ar-SA"/>
        </w:rPr>
        <w:t>高标准农田建成后，有效提升耕地“连片化”和“宜机化”，推动农机农艺融合和现代农业技术综合应用，有效促进农业规模化、专业化、标准化生产经营加快农业新品种、新技术、新装备推广应用，推动经营方式、生产方式、资源利用方式转型升级，加快质量兴农、绿色兴农、品牌强农，助力乡村振兴战略实施。</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3.调动种粮农民积极性。</w:t>
      </w:r>
      <w:r>
        <w:rPr>
          <w:rFonts w:hint="eastAsia" w:ascii="Times New Roman" w:hAnsi="Times New Roman" w:eastAsia="仿宋_GB2312" w:cs="Times New Roman"/>
          <w:color w:val="000000"/>
          <w:kern w:val="2"/>
          <w:sz w:val="32"/>
          <w:szCs w:val="32"/>
          <w:lang w:val="en-US" w:eastAsia="zh-CN" w:bidi="ar-SA"/>
        </w:rPr>
        <w:t>高标准农田建成后，田、土、水、路、林、电等基础设施综合配套，科技服务全面覆盖，管护机制健全运行，耕地数量稳定，质量稳步提升，农业生产条件显著改善，粮食作物规模化效益逐步发挥，农民种粮积极性充分调动。</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4.增加农民劳务收入和改善农民生产生活条件。</w:t>
      </w:r>
      <w:r>
        <w:rPr>
          <w:rFonts w:hint="eastAsia" w:ascii="Times New Roman" w:hAnsi="Times New Roman" w:eastAsia="仿宋_GB2312" w:cs="Times New Roman"/>
          <w:color w:val="000000"/>
          <w:kern w:val="2"/>
          <w:sz w:val="32"/>
          <w:szCs w:val="32"/>
          <w:lang w:val="en-US" w:eastAsia="zh-CN" w:bidi="ar-SA"/>
        </w:rPr>
        <w:t>目前，高标准农田建设虽以机械施工为主，但仍有许多田、路、渠、林等设施需要使用人工修建，这部分工程可增加农民的工资收入。随着各项工程措施的全面配套完善，不仅给项目区的农业生产提供了有力保障，也使农民的生产、农事作业条件和生活状况得到改变。</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5.促进农业技术的推广和应用。</w:t>
      </w:r>
      <w:r>
        <w:rPr>
          <w:rFonts w:hint="eastAsia" w:ascii="Times New Roman" w:hAnsi="Times New Roman" w:eastAsia="仿宋_GB2312" w:cs="Times New Roman"/>
          <w:color w:val="000000"/>
          <w:kern w:val="2"/>
          <w:sz w:val="32"/>
          <w:szCs w:val="32"/>
          <w:lang w:val="en-US" w:eastAsia="zh-CN" w:bidi="ar-SA"/>
        </w:rPr>
        <w:t>土地平整和各种基础设施配套后，为节水灌溉、精量施肥、良种使用、机械铺膜等新技术、新装备的使用创造条件。</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6.促进增长方式的转变。</w:t>
      </w:r>
      <w:r>
        <w:rPr>
          <w:rFonts w:hint="eastAsia" w:ascii="Times New Roman" w:hAnsi="Times New Roman" w:eastAsia="仿宋_GB2312" w:cs="Times New Roman"/>
          <w:color w:val="000000"/>
          <w:kern w:val="2"/>
          <w:sz w:val="32"/>
          <w:szCs w:val="32"/>
          <w:lang w:val="en-US" w:eastAsia="zh-CN" w:bidi="ar-SA"/>
        </w:rPr>
        <w:t>通过扩大经营规模，建立新的农业组织形式和农业合作体系，加快家庭农场经营和专业化生产，有利于形成一些农业生产社会化服务组织，从事技术服务、市场销售、代耕等活动，提升农业产业化经营水平。</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52" w:name="_Toc15179"/>
      <w:r>
        <w:rPr>
          <w:rFonts w:hint="eastAsia" w:ascii="楷体_GB2312" w:hAnsi="楷体_GB2312" w:eastAsia="楷体_GB2312" w:cs="楷体_GB2312"/>
          <w:color w:val="000000"/>
          <w:kern w:val="2"/>
          <w:sz w:val="32"/>
          <w:szCs w:val="32"/>
          <w:lang w:val="en-US" w:eastAsia="zh-CN" w:bidi="ar-SA"/>
        </w:rPr>
        <w:t>（三）生态效益</w:t>
      </w:r>
      <w:bookmarkEnd w:id="152"/>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1.提高水土资源利用率。</w:t>
      </w:r>
      <w:r>
        <w:rPr>
          <w:rFonts w:hint="eastAsia" w:ascii="Times New Roman" w:hAnsi="Times New Roman" w:eastAsia="仿宋_GB2312" w:cs="Times New Roman"/>
          <w:color w:val="000000"/>
          <w:kern w:val="2"/>
          <w:sz w:val="32"/>
          <w:szCs w:val="32"/>
          <w:lang w:val="en-US" w:eastAsia="zh-CN" w:bidi="ar-SA"/>
        </w:rPr>
        <w:t>高标准农田建成后，有效提高耕地集约化利用水平，缓解农业发展的水土资源约束，促进农业可持续发展。</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2.减少耕地水土流失。</w:t>
      </w:r>
      <w:r>
        <w:rPr>
          <w:rFonts w:hint="eastAsia" w:ascii="Times New Roman" w:hAnsi="Times New Roman" w:eastAsia="仿宋_GB2312" w:cs="Times New Roman"/>
          <w:color w:val="000000"/>
          <w:kern w:val="2"/>
          <w:sz w:val="32"/>
          <w:szCs w:val="32"/>
          <w:lang w:val="en-US" w:eastAsia="zh-CN" w:bidi="ar-SA"/>
        </w:rPr>
        <w:t>通过实施田块整治、土壤改良、农田防护和生态环境保护等综合措施，优化农田空间格局，改善农田平面结构，提高蓄水保墒能力，有效降低地表径流，减少耕地特别是坡耕地的水土流失和土壤养分流失。</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3.提升农田生态功能。</w:t>
      </w:r>
      <w:r>
        <w:rPr>
          <w:rFonts w:hint="eastAsia" w:ascii="Times New Roman" w:hAnsi="Times New Roman" w:eastAsia="仿宋_GB2312" w:cs="Times New Roman"/>
          <w:color w:val="000000"/>
          <w:kern w:val="2"/>
          <w:sz w:val="32"/>
          <w:szCs w:val="32"/>
          <w:lang w:val="en-US" w:eastAsia="zh-CN" w:bidi="ar-SA"/>
        </w:rPr>
        <w:t>高标准农田建成后，可增强农田水土保持和防灾抗灾减灾能力，改善小气候，提升耕地固碳能力，增加林木蓄积量，优化农村田园景观，为乡村生态宜居提供绿色屏障。通过完善农田林网、林带建设，可起到防风固沙、调节田间小气候的作用，还可有效增加林木蓄积量。</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b/>
          <w:bCs/>
          <w:color w:val="000000"/>
          <w:kern w:val="2"/>
          <w:sz w:val="32"/>
          <w:szCs w:val="32"/>
          <w:lang w:val="en-US" w:eastAsia="zh-CN" w:bidi="ar-SA"/>
        </w:rPr>
        <w:t>4.促进农业绿色发展。</w:t>
      </w:r>
      <w:r>
        <w:rPr>
          <w:rFonts w:hint="eastAsia" w:ascii="Times New Roman" w:hAnsi="Times New Roman" w:eastAsia="仿宋_GB2312" w:cs="Times New Roman"/>
          <w:color w:val="000000"/>
          <w:kern w:val="2"/>
          <w:sz w:val="32"/>
          <w:szCs w:val="32"/>
          <w:lang w:val="en-US" w:eastAsia="zh-CN" w:bidi="ar-SA"/>
        </w:rPr>
        <w:t>高标准农田建成后，合理耕作、平衡施肥、秸秆还田、统防统治等农业技术措施综合应用，有效提高化肥农药使用率，改善土壤理化性状，提高耕地质量和承载能力，保持耕地土壤健康，提升农业生产绿色发展水平</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2" w:firstLineChars="200"/>
        <w:textAlignment w:val="auto"/>
        <w:rPr>
          <w:rFonts w:hint="eastAsia" w:ascii="Times New Roman" w:hAnsi="Times New Roman" w:eastAsia="仿宋_GB2312" w:cs="Times New Roman"/>
          <w:color w:val="000000"/>
          <w:kern w:val="2"/>
          <w:sz w:val="32"/>
          <w:szCs w:val="32"/>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仿宋_GB2312" w:cs="Times New Roman"/>
          <w:b/>
          <w:bCs/>
          <w:color w:val="000000"/>
          <w:kern w:val="2"/>
          <w:sz w:val="32"/>
          <w:szCs w:val="32"/>
          <w:lang w:val="en-US" w:eastAsia="zh-CN" w:bidi="ar-SA"/>
        </w:rPr>
        <w:t>5.美化乡村景观。</w:t>
      </w:r>
      <w:r>
        <w:rPr>
          <w:rFonts w:hint="eastAsia" w:ascii="Times New Roman" w:hAnsi="Times New Roman" w:eastAsia="仿宋_GB2312" w:cs="Times New Roman"/>
          <w:color w:val="000000"/>
          <w:kern w:val="2"/>
          <w:sz w:val="32"/>
          <w:szCs w:val="32"/>
          <w:lang w:val="en-US" w:eastAsia="zh-CN" w:bidi="ar-SA"/>
        </w:rPr>
        <w:t>通过土地整修、农田林网建设、道路修建、农田连片大面积布局，增加农田生物多样性，构建景观优美、人与自然和谐的生活环境。</w:t>
      </w:r>
    </w:p>
    <w:p>
      <w:pPr>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center"/>
        <w:textAlignment w:val="auto"/>
        <w:rPr>
          <w:rFonts w:hint="eastAsia" w:ascii="方正小标宋简体" w:hAnsi="方正小标宋简体" w:eastAsia="方正小标宋简体" w:cs="方正小标宋简体"/>
          <w:color w:val="000000"/>
          <w:kern w:val="2"/>
          <w:sz w:val="44"/>
          <w:szCs w:val="44"/>
          <w:lang w:val="en-US" w:eastAsia="zh-CN" w:bidi="ar-SA"/>
        </w:rPr>
      </w:pPr>
      <w:bookmarkStart w:id="153" w:name="_Toc9134"/>
      <w:bookmarkStart w:id="154" w:name="_Toc31687"/>
      <w:r>
        <w:rPr>
          <w:rFonts w:hint="eastAsia" w:ascii="方正小标宋简体" w:hAnsi="方正小标宋简体" w:eastAsia="方正小标宋简体" w:cs="方正小标宋简体"/>
          <w:color w:val="000000"/>
          <w:kern w:val="2"/>
          <w:sz w:val="44"/>
          <w:szCs w:val="44"/>
          <w:lang w:val="en-US" w:eastAsia="zh-CN" w:bidi="ar-SA"/>
        </w:rPr>
        <w:t>第七章  实施保障</w:t>
      </w:r>
      <w:bookmarkEnd w:id="153"/>
      <w:bookmarkEnd w:id="15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bookmarkStart w:id="155" w:name="_Toc30960"/>
      <w:bookmarkStart w:id="156" w:name="_Toc20060"/>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r>
        <w:rPr>
          <w:rFonts w:hint="eastAsia" w:ascii="黑体" w:hAnsi="黑体" w:eastAsia="黑体" w:cs="黑体"/>
          <w:color w:val="000000"/>
          <w:kern w:val="2"/>
          <w:sz w:val="32"/>
          <w:szCs w:val="32"/>
          <w:lang w:val="en-US" w:eastAsia="zh-CN" w:bidi="ar-SA"/>
        </w:rPr>
        <w:t>一、加强组织领导</w:t>
      </w:r>
      <w:bookmarkEnd w:id="155"/>
      <w:bookmarkEnd w:id="15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57" w:name="_Toc24768"/>
      <w:r>
        <w:rPr>
          <w:rFonts w:hint="eastAsia" w:ascii="楷体_GB2312" w:hAnsi="楷体_GB2312" w:eastAsia="楷体_GB2312" w:cs="楷体_GB2312"/>
          <w:color w:val="000000"/>
          <w:kern w:val="2"/>
          <w:sz w:val="32"/>
          <w:szCs w:val="32"/>
          <w:lang w:val="en-US" w:eastAsia="zh-CN" w:bidi="ar-SA"/>
        </w:rPr>
        <w:t>（一）完善体制机制</w:t>
      </w:r>
      <w:bookmarkEnd w:id="15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落实高标准农田建设统一规划布局、统一建设标准、统一组织实施、统一验收考核、统一上图入库要求，构建集中统一高效的管理新体制。落实中央统筹、省负总责、市区乡抓落实、群众参与的高标准农田建设工作机制，进一步完善地方政府主体责任制，抓好规划实施、任务落实、资金保障、监督评价和运营管护等工作。区农业农村局要在区人民政府的领导下，落实好建设任务和工作责任，相关部门要按照职责分工，主动协作配合，做好规划指导、资金投入、新增耕地核定、水资源利用和管理、金融支持等工作，协同推进高标准农田建设。加强建设资金全过程绩效管理，科学设定绩效目标，做好绩效运行监控和评价，强化结果应用，提高资金使用效益。</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58" w:name="_Toc30848"/>
      <w:r>
        <w:rPr>
          <w:rFonts w:hint="eastAsia" w:ascii="楷体_GB2312" w:hAnsi="楷体_GB2312" w:eastAsia="楷体_GB2312" w:cs="楷体_GB2312"/>
          <w:color w:val="000000"/>
          <w:kern w:val="2"/>
          <w:sz w:val="32"/>
          <w:szCs w:val="32"/>
          <w:lang w:val="en-US" w:eastAsia="zh-CN" w:bidi="ar-SA"/>
        </w:rPr>
        <w:t>（二）加强行业管理</w:t>
      </w:r>
      <w:bookmarkEnd w:id="15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严把高标准农田建设从业机构资质审查关，提高勘察、设计、施工和监理等相关单位技术力量门槛，杜绝无资质或资质不符合要求的从业机构承接相关业务。建立健全江夏区高标准农田建设管理制度体系，完善质量管理制度和标准体系，规范从业单位质量管理行为。大力推行信用承诺制度，依法依规建立健全高标准农田建设从业机构失信惩戒机制，加强行业自律和动态监管。建立完善高标准农田建设项目专家库，聘请农田建设、水利、财务、土壤改良等专业领域专家入库，健全专家咨询、决策论证等制度，严把建设质量关。</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59" w:name="_Toc29162"/>
      <w:r>
        <w:rPr>
          <w:rFonts w:hint="eastAsia" w:ascii="楷体_GB2312" w:hAnsi="楷体_GB2312" w:eastAsia="楷体_GB2312" w:cs="楷体_GB2312"/>
          <w:color w:val="000000"/>
          <w:kern w:val="2"/>
          <w:sz w:val="32"/>
          <w:szCs w:val="32"/>
          <w:lang w:val="en-US" w:eastAsia="zh-CN" w:bidi="ar-SA"/>
        </w:rPr>
        <w:t>（三）抓好队伍建设</w:t>
      </w:r>
      <w:bookmarkEnd w:id="15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加强高标准农田建设管理和技术服务体系队伍建设，强化人员配备，重点配齐区、街道与当地高标准农田建设任务相适应的农田建设技术力量，加快形成层次清晰、上下衔接的专业化人才队伍。加大技术培训力度，加强业务交流，提升高标准农田建设管理和技术人员的专业能力和综合素质。</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60" w:name="_Toc31580"/>
      <w:bookmarkStart w:id="161" w:name="_Toc23875"/>
      <w:r>
        <w:rPr>
          <w:rFonts w:hint="eastAsia" w:ascii="黑体" w:hAnsi="黑体" w:eastAsia="黑体" w:cs="黑体"/>
          <w:color w:val="000000"/>
          <w:kern w:val="2"/>
          <w:sz w:val="32"/>
          <w:szCs w:val="32"/>
          <w:lang w:val="en-US" w:eastAsia="zh-CN" w:bidi="ar-SA"/>
        </w:rPr>
        <w:t>二、强化资金保障</w:t>
      </w:r>
      <w:bookmarkEnd w:id="160"/>
      <w:bookmarkEnd w:id="16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62" w:name="_Toc5857"/>
      <w:r>
        <w:rPr>
          <w:rFonts w:hint="eastAsia" w:ascii="楷体_GB2312" w:hAnsi="楷体_GB2312" w:eastAsia="楷体_GB2312" w:cs="楷体_GB2312"/>
          <w:color w:val="000000"/>
          <w:kern w:val="2"/>
          <w:sz w:val="32"/>
          <w:szCs w:val="32"/>
          <w:lang w:val="en-US" w:eastAsia="zh-CN" w:bidi="ar-SA"/>
        </w:rPr>
        <w:t>（一）加强财政投入保障</w:t>
      </w:r>
      <w:bookmarkEnd w:id="162"/>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立健全高标准农田建设投入保障机制。区人民政府要按规定及时落实地方资金，压实地方投入责任，根据高标准农田建设任务、标准和成本变化，科学确定投资标准，切实保障各项政府投入。积极争取中央、省、市财政加大支持力度，各级财政共同承担农田建设支出责任，将高标准农田建设作为重点事项，优化财政支出结构，列入本级政府预算，安排必要资金投入高标准农田建设。积极推动土地流转，加大土地出让收入对高标准农田建设的支持力度。在市级确定的最低投资标准基础上，进一步加大投入力度，提高投资标准。</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63" w:name="_Toc4592"/>
      <w:r>
        <w:rPr>
          <w:rFonts w:hint="eastAsia" w:ascii="楷体_GB2312" w:hAnsi="楷体_GB2312" w:eastAsia="楷体_GB2312" w:cs="楷体_GB2312"/>
          <w:color w:val="000000"/>
          <w:kern w:val="2"/>
          <w:sz w:val="32"/>
          <w:szCs w:val="32"/>
          <w:lang w:val="en-US" w:eastAsia="zh-CN" w:bidi="ar-SA"/>
        </w:rPr>
        <w:t>（二）积极创新投融资模式</w:t>
      </w:r>
      <w:bookmarkEnd w:id="16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发挥政府投入引导和撬动作用，健全多元投入保障机制，完善银担合作机制，采取投资补助、以奖代补、财政贴息等多种方式，有序引导金融、社会资本和新型农业经营主体投入高标准农田建设。发挥财政资金的引导和杠杆作用，吸引金融和社会资金，积极探索“政府＋企业”合作建设模式，撬动社会资本投入高标准农田建设，逐步建立保障社会资金投资机制。鼓励开发性、政策性金融机构结合职能定位和业务范围支持高标准农田建设。鼓励地方政府在债券限额内将债券资金用于支持符合条件的高标准农田建设。调动受益主体管护积极性，吸引金融资本、社会资本等多元化投入，提倡引入保险机制参与农田管护修复。</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64" w:name="_Toc6234"/>
      <w:bookmarkStart w:id="165" w:name="_Toc20373"/>
      <w:r>
        <w:rPr>
          <w:rFonts w:hint="eastAsia" w:ascii="黑体" w:hAnsi="黑体" w:eastAsia="黑体" w:cs="黑体"/>
          <w:color w:val="000000"/>
          <w:kern w:val="2"/>
          <w:sz w:val="32"/>
          <w:szCs w:val="32"/>
          <w:lang w:val="en-US" w:eastAsia="zh-CN" w:bidi="ar-SA"/>
        </w:rPr>
        <w:t>三、严格规划引领</w:t>
      </w:r>
      <w:bookmarkEnd w:id="164"/>
      <w:bookmarkEnd w:id="165"/>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66" w:name="_Toc15621"/>
      <w:r>
        <w:rPr>
          <w:rFonts w:hint="eastAsia" w:ascii="楷体_GB2312" w:hAnsi="楷体_GB2312" w:eastAsia="楷体_GB2312" w:cs="楷体_GB2312"/>
          <w:color w:val="000000"/>
          <w:kern w:val="2"/>
          <w:sz w:val="32"/>
          <w:szCs w:val="32"/>
          <w:lang w:val="en-US" w:eastAsia="zh-CN" w:bidi="ar-SA"/>
        </w:rPr>
        <w:t>（一）构建规划体系</w:t>
      </w:r>
      <w:bookmarkEnd w:id="16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以《武汉市高标准农田建设规划（2022-2030年）》为指导，编制区级建设规划，区级规划在全面摸清高标准农田数量、质量等底数的基础上，根据全市规划目标任务，将建设任务分解落实到项目和地块，明确项目建设时序安排，形成规划项目布局图和项目库，为项目和投资及时落地提前做好准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67" w:name="_Toc2877"/>
      <w:r>
        <w:rPr>
          <w:rFonts w:hint="eastAsia" w:ascii="楷体_GB2312" w:hAnsi="楷体_GB2312" w:eastAsia="楷体_GB2312" w:cs="楷体_GB2312"/>
          <w:color w:val="000000"/>
          <w:kern w:val="2"/>
          <w:sz w:val="32"/>
          <w:szCs w:val="32"/>
          <w:lang w:val="en-US" w:eastAsia="zh-CN" w:bidi="ar-SA"/>
        </w:rPr>
        <w:t>（二）做好规划衔接</w:t>
      </w:r>
      <w:bookmarkEnd w:id="16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将高标准农田建设纳入本级经济社会发展规划，并与各相关专业规划做好衔接。高标准农田建设目标、任务、布局和项目安排，要充分做好与国土空间规划等相关专业规划的衔接，综合考虑耕地资源承载力、粮食保障要求等因素，合理确定高标准农田建设区域。各相关部门的规划成果、项目管理信息系统等要做到数据共享，促进高标准农田各类项目有序、有效实施。</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68" w:name="_Toc29"/>
      <w:r>
        <w:rPr>
          <w:rFonts w:hint="eastAsia" w:ascii="楷体_GB2312" w:hAnsi="楷体_GB2312" w:eastAsia="楷体_GB2312" w:cs="楷体_GB2312"/>
          <w:color w:val="000000"/>
          <w:kern w:val="2"/>
          <w:sz w:val="32"/>
          <w:szCs w:val="32"/>
          <w:lang w:val="en-US" w:eastAsia="zh-CN" w:bidi="ar-SA"/>
        </w:rPr>
        <w:t>（三）构建动态项目储备库</w:t>
      </w:r>
      <w:bookmarkEnd w:id="16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项目储备库采取统筹协调、及时更新的动态管理模式，明确项目实施优先级别，形成“储备一批、开工一批、建设一批、竣工一批”的滚动接续机制。严格按照高标准农田建设规划要求，建设区级高标准农田建设项目储备库，落实项目筛选、审核责任，扎实开展项目入库前分析论证工作，常态化、动态化储备一批可实施的高标准农田建设项目。项目储备库应根据当年度政策要求、建设任务、国土空间规划及“三区三线”划定成果等进行年度动态调整。区农业农村局应安排专人负责储备库管理工作，区级项目库对入库项目进行实时跟踪，因国家政策变化等因素无法实施和已开工建设的项目应移出储备库，同时应按年度需求及时补充新增项目，确保库储备建设规模总量满足建设任务指标。</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69" w:name="_Toc1615"/>
      <w:r>
        <w:rPr>
          <w:rFonts w:hint="eastAsia" w:ascii="楷体_GB2312" w:hAnsi="楷体_GB2312" w:eastAsia="楷体_GB2312" w:cs="楷体_GB2312"/>
          <w:color w:val="000000"/>
          <w:kern w:val="2"/>
          <w:sz w:val="32"/>
          <w:szCs w:val="32"/>
          <w:lang w:val="en-US" w:eastAsia="zh-CN" w:bidi="ar-SA"/>
        </w:rPr>
        <w:t>（四）强化督查考核</w:t>
      </w:r>
      <w:bookmarkEnd w:id="16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将高标准农田建设规划实施情况纳入绩效管理综合考核及乡村振兴实绩考核。区农业农村局结合实际情况，制定高标准农田规划实施年度计划，建立执行情况评价、考核机制和工作督查制度，实行年度自查、期中检查、期末考评相结合的方法，采用自评与第三方评估相结合的方式，对规划目标、建设任务、重点项目的执行情况进行评估分析，客观评价规划实施进展，总结提炼经验做法、剖析实施过程中存在的问题及原因，进一步发挥好规划的引领作用。</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70" w:name="_Toc17075"/>
      <w:bookmarkStart w:id="171" w:name="_Toc31476"/>
      <w:r>
        <w:rPr>
          <w:rFonts w:hint="eastAsia" w:ascii="黑体" w:hAnsi="黑体" w:eastAsia="黑体" w:cs="黑体"/>
          <w:color w:val="000000"/>
          <w:kern w:val="2"/>
          <w:sz w:val="32"/>
          <w:szCs w:val="32"/>
          <w:lang w:val="en-US" w:eastAsia="zh-CN" w:bidi="ar-SA"/>
        </w:rPr>
        <w:t>四、突出科技支撑</w:t>
      </w:r>
      <w:bookmarkEnd w:id="170"/>
      <w:bookmarkEnd w:id="171"/>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72" w:name="_Toc9798"/>
      <w:r>
        <w:rPr>
          <w:rFonts w:hint="eastAsia" w:ascii="楷体_GB2312" w:hAnsi="楷体_GB2312" w:eastAsia="楷体_GB2312" w:cs="楷体_GB2312"/>
          <w:color w:val="000000"/>
          <w:kern w:val="2"/>
          <w:sz w:val="32"/>
          <w:szCs w:val="32"/>
          <w:lang w:val="en-US" w:eastAsia="zh-CN" w:bidi="ar-SA"/>
        </w:rPr>
        <w:t>（一）加强科技创新</w:t>
      </w:r>
      <w:bookmarkEnd w:id="172"/>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针对高标准农田建设、管理、保护全过程的“卡脖子”问题，开展农田信息化监管、耕地质量提升等技术攻关，加强科技研发力度，推动科技创新与成果转化，为高标准农田建设提供技术支撑。加强农田建设与农机农艺技术的引进、集成与应用，加大良种良法良技应用力度，提高工程建设的科技含量。开展绿色农田、数字农田和土壤酸化、退化及工程性缺水等新技术的专项建设示范，引领相同类型区域高标准农田建设。建立产学研用深度融合的技术创新机制，鼓励农田建设领域内各类创新主体建立创新联盟，为科技创新提供人才、技术、资金等支持，鼓励社会各方投入农田建设工程、农艺、生物、管理科技创新，建立关键核心技术攻关机制与科技成果转化运用机制。</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73" w:name="_Toc27586"/>
      <w:r>
        <w:rPr>
          <w:rFonts w:hint="eastAsia" w:ascii="楷体_GB2312" w:hAnsi="楷体_GB2312" w:eastAsia="楷体_GB2312" w:cs="楷体_GB2312"/>
          <w:color w:val="000000"/>
          <w:kern w:val="2"/>
          <w:sz w:val="32"/>
          <w:szCs w:val="32"/>
          <w:lang w:val="en-US" w:eastAsia="zh-CN" w:bidi="ar-SA"/>
        </w:rPr>
        <w:t>（二）推进农田建设信息化</w:t>
      </w:r>
      <w:bookmarkEnd w:id="173"/>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构建农田建设和管理在线监管系统，探索农田管理大数据平台建设，把高标准农田建设项目立项、实施、验收、使用等各阶段信息及时上图入库，实现规划、立项、工程设计、招投标、施工、竣工验收、建后管护、耕地质量等级、农田利用状况等的全过程监管，形成高标准农田建设“一张图”，实现高标准农田建设的有据可查、全程监控、精准管理。着力推进数字技术与农田建设相结合，结合新基建内容，重点推进物联网、大数据、智能控制、北斗等技术在农田建设中的应用，提高全要素生产效率。配套耕地质量综合监测点，加强对耕地质量管理水平与方式。探索实行农田灌溉排水等田间智能作业，提升生产精准化、智慧化水平。不断探索在高标准农田范围内实施农业实时监测、虫情监测自动化、水肥一体化等新型信息化技术的运用，提升高标准农田建设内涵。</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74" w:name="_Toc23397"/>
      <w:r>
        <w:rPr>
          <w:rFonts w:hint="eastAsia" w:ascii="楷体_GB2312" w:hAnsi="楷体_GB2312" w:eastAsia="楷体_GB2312" w:cs="楷体_GB2312"/>
          <w:color w:val="000000"/>
          <w:kern w:val="2"/>
          <w:sz w:val="32"/>
          <w:szCs w:val="32"/>
          <w:lang w:val="en-US" w:eastAsia="zh-CN" w:bidi="ar-SA"/>
        </w:rPr>
        <w:t>（三）加大技术支撑</w:t>
      </w:r>
      <w:bookmarkEnd w:id="174"/>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充分发挥武汉科教优势，围绕高标准农田建设的关键性技术问题，依托高校、科研机构开展科学研究，吸收引进和大力推广高标准农田建设先进实用技术，加强工程建设与农业技术的集成和应用，推动科研创新与成果转化，提升项目建设管理的技术水平。加大对高标准农田建设有关的勘察设计、工程建设、项目管理等技术和管理人员的培训力度，提升业务能力、技术水平和综合素质，为规划实施提供智力支持。打造一支高素质、多元化、能帮助农民解决实际问题的农技推广服务队伍，加快培育具有较强市场意识、较高生产技能、较好管理能力的农村经纪人和现代新型职业农民，支持各类社会力量参与农业科技推广，支持农技推广人员与家庭农场、农民合作社、龙头企业开展技术合作。通过政府购买服务等方式，支持市场化服务力量开展耕地质量监测评价，加密监测网点，增加监测样次，完善耕地质量监测评价体系。</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黑体" w:hAnsi="黑体" w:eastAsia="黑体" w:cs="黑体"/>
          <w:color w:val="000000"/>
          <w:kern w:val="2"/>
          <w:sz w:val="32"/>
          <w:szCs w:val="32"/>
          <w:lang w:val="en-US" w:eastAsia="zh-CN" w:bidi="ar-SA"/>
        </w:rPr>
      </w:pPr>
      <w:bookmarkStart w:id="175" w:name="_Toc21323"/>
      <w:bookmarkStart w:id="176" w:name="_Toc18664"/>
      <w:r>
        <w:rPr>
          <w:rFonts w:hint="eastAsia" w:ascii="黑体" w:hAnsi="黑体" w:eastAsia="黑体" w:cs="黑体"/>
          <w:color w:val="000000"/>
          <w:kern w:val="2"/>
          <w:sz w:val="32"/>
          <w:szCs w:val="32"/>
          <w:lang w:val="en-US" w:eastAsia="zh-CN" w:bidi="ar-SA"/>
        </w:rPr>
        <w:t>五、严格监督考核</w:t>
      </w:r>
      <w:bookmarkEnd w:id="175"/>
      <w:bookmarkEnd w:id="176"/>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77" w:name="_Toc5393"/>
      <w:r>
        <w:rPr>
          <w:rFonts w:hint="eastAsia" w:ascii="楷体_GB2312" w:hAnsi="楷体_GB2312" w:eastAsia="楷体_GB2312" w:cs="楷体_GB2312"/>
          <w:color w:val="000000"/>
          <w:kern w:val="2"/>
          <w:sz w:val="32"/>
          <w:szCs w:val="32"/>
          <w:lang w:val="en-US" w:eastAsia="zh-CN" w:bidi="ar-SA"/>
        </w:rPr>
        <w:t>（一）强化激励评价考核</w:t>
      </w:r>
      <w:bookmarkEnd w:id="177"/>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建立健全“定期调度、分析研判、通报约谈、奖优罚劣”的任务落实机制，加强项目日常监管和跟踪指导。按照粮食安全党政同责要求，进一步完善高标准农田建设评价考核制度，强化评价结果运用，对完成任务好的予以倾斜支持，对未完成任务的进行约谈、处罚。</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78" w:name="_Toc21676"/>
      <w:r>
        <w:rPr>
          <w:rFonts w:hint="eastAsia" w:ascii="楷体_GB2312" w:hAnsi="楷体_GB2312" w:eastAsia="楷体_GB2312" w:cs="楷体_GB2312"/>
          <w:color w:val="000000"/>
          <w:kern w:val="2"/>
          <w:sz w:val="32"/>
          <w:szCs w:val="32"/>
          <w:lang w:val="en-US" w:eastAsia="zh-CN" w:bidi="ar-SA"/>
        </w:rPr>
        <w:t>（二）调动社会各方参与</w:t>
      </w:r>
      <w:bookmarkEnd w:id="178"/>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构建社会、群众监督参与机制，积极引导农村集体经济组织、农民合作社、社会组织等广泛参与高标准农田建设管理工作，形成共同监督、共同参与的良好氛围。注重发挥农民群众的主体作用，激发农民及新型农业经营主体等生产经营者参与高标准农田项目建设和管护等方面的积极性、主动性和创造性。</w:t>
      </w:r>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楷体_GB2312" w:hAnsi="楷体_GB2312" w:eastAsia="楷体_GB2312" w:cs="楷体_GB2312"/>
          <w:color w:val="000000"/>
          <w:kern w:val="2"/>
          <w:sz w:val="32"/>
          <w:szCs w:val="32"/>
          <w:lang w:val="en-US" w:eastAsia="zh-CN" w:bidi="ar-SA"/>
        </w:rPr>
      </w:pPr>
      <w:bookmarkStart w:id="179" w:name="_Toc17156"/>
      <w:r>
        <w:rPr>
          <w:rFonts w:hint="eastAsia" w:ascii="楷体_GB2312" w:hAnsi="楷体_GB2312" w:eastAsia="楷体_GB2312" w:cs="楷体_GB2312"/>
          <w:color w:val="000000"/>
          <w:kern w:val="2"/>
          <w:sz w:val="32"/>
          <w:szCs w:val="32"/>
          <w:lang w:val="en-US" w:eastAsia="zh-CN" w:bidi="ar-SA"/>
        </w:rPr>
        <w:t>（三）加强风险防控预警</w:t>
      </w:r>
      <w:bookmarkEnd w:id="179"/>
    </w:p>
    <w:p>
      <w:pPr>
        <w:keepNext w:val="0"/>
        <w:keepLines w:val="0"/>
        <w:pageBreakBefore w:val="0"/>
        <w:widowControl w:val="0"/>
        <w:kinsoku/>
        <w:wordWrap/>
        <w:overflowPunct/>
        <w:topLinePunct w:val="0"/>
        <w:autoSpaceDE/>
        <w:autoSpaceDN/>
        <w:bidi w:val="0"/>
        <w:adjustRightInd/>
        <w:snapToGrid/>
        <w:spacing w:before="0" w:after="0" w:line="600" w:lineRule="exact"/>
        <w:ind w:left="0" w:firstLine="640" w:firstLineChars="200"/>
        <w:textAlignment w:val="auto"/>
        <w:rPr>
          <w:rFonts w:hint="eastAsia" w:ascii="Times New Roman" w:hAnsi="Times New Roman" w:eastAsia="仿宋_GB2312" w:cs="Times New Roman"/>
          <w:color w:val="000000"/>
          <w:kern w:val="2"/>
          <w:sz w:val="32"/>
          <w:szCs w:val="32"/>
          <w:lang w:val="en-US" w:eastAsia="zh-CN" w:bidi="ar-SA"/>
        </w:rPr>
      </w:pPr>
      <w:r>
        <w:rPr>
          <w:rFonts w:hint="eastAsia" w:ascii="Times New Roman" w:hAnsi="Times New Roman" w:eastAsia="仿宋_GB2312" w:cs="Times New Roman"/>
          <w:color w:val="000000"/>
          <w:kern w:val="2"/>
          <w:sz w:val="32"/>
          <w:szCs w:val="32"/>
          <w:lang w:val="en-US" w:eastAsia="zh-CN" w:bidi="ar-SA"/>
        </w:rPr>
        <w:t>树立良好作风，强化廉政建设，严肃工作纪律，切实防范农田建设管理风险。加强对农田建设资金全过程绩效管理，科学设定绩效目标，做好绩效运行监控和评价，强化结果应用。加强工作指导，对发现的问题及时督促整改。严格跟踪问责，对履职不力、监管不严、失职渎职的，依法依规追究有关人员责任。</w:t>
      </w:r>
      <w:bookmarkEnd w:id="74"/>
    </w:p>
    <w:sectPr>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serif">
    <w:altName w:val="仿宋"/>
    <w:panose1 w:val="00000000000000000000"/>
    <w:charset w:val="00"/>
    <w:family w:val="auto"/>
    <w:pitch w:val="default"/>
    <w:sig w:usb0="00000000" w:usb1="00000000" w:usb2="00000000" w:usb3="00000000" w:csb0="0000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Liberation Serif">
    <w:panose1 w:val="02020603050405020304"/>
    <w:charset w:val="00"/>
    <w:family w:val="auto"/>
    <w:pitch w:val="default"/>
    <w:sig w:usb0="A00002AF" w:usb1="500078FB" w:usb2="00000000" w:usb3="00000000" w:csb0="6000009F" w:csb1="DFD7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left="0" w:leftChars="0" w:firstLine="0" w:firstLineChars="0"/>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16"/>
                      <w:ind w:left="0" w:leftChars="0" w:firstLine="0" w:firstLineChars="0"/>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0" w:leftChars="0" w:firstLine="0" w:firstLineChars="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left="0" w:leftChars="0" w:firstLine="0" w:firstLineChars="0"/>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2</w:t>
                          </w:r>
                          <w:r>
                            <w:rPr>
                              <w:sz w:val="32"/>
                              <w:szCs w:val="32"/>
                            </w:rPr>
                            <w:fldChar w:fldCharType="end"/>
                          </w:r>
                          <w:r>
                            <w:rPr>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16"/>
                      <w:ind w:left="0" w:leftChars="0" w:firstLine="0" w:firstLineChars="0"/>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2</w:t>
                    </w:r>
                    <w:r>
                      <w:rPr>
                        <w:sz w:val="32"/>
                        <w:szCs w:val="32"/>
                      </w:rPr>
                      <w:fldChar w:fldCharType="end"/>
                    </w:r>
                    <w:r>
                      <w:rPr>
                        <w:sz w:val="32"/>
                        <w:szCs w:val="32"/>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0" w:leftChars="0" w:firstLine="0" w:firstLineChars="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left="0" w:leftChars="0" w:firstLine="0" w:firstLineChars="0"/>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3</w:t>
                          </w:r>
                          <w:r>
                            <w:rPr>
                              <w:sz w:val="32"/>
                              <w:szCs w:val="32"/>
                            </w:rPr>
                            <w:fldChar w:fldCharType="end"/>
                          </w:r>
                          <w:r>
                            <w:rPr>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s/vGR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bP7xkTECAABjBAAADgAAAAAAAAABACAAAAA1&#10;AQAAZHJzL2Uyb0RvYy54bWxQSwUGAAAAAAYABgBZAQAA2AUAAAAA&#10;">
              <v:fill on="f" focussize="0,0"/>
              <v:stroke on="f" weight="0.5pt"/>
              <v:imagedata o:title=""/>
              <o:lock v:ext="edit" aspectratio="f"/>
              <v:textbox inset="0mm,0mm,0mm,0mm" style="mso-fit-shape-to-text:t;">
                <w:txbxContent>
                  <w:p>
                    <w:pPr>
                      <w:pStyle w:val="16"/>
                      <w:ind w:left="0" w:leftChars="0" w:firstLine="0" w:firstLineChars="0"/>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3</w:t>
                    </w:r>
                    <w:r>
                      <w:rPr>
                        <w:sz w:val="32"/>
                        <w:szCs w:val="32"/>
                      </w:rPr>
                      <w:fldChar w:fldCharType="end"/>
                    </w:r>
                    <w:r>
                      <w:rPr>
                        <w:sz w:val="32"/>
                        <w:szCs w:val="32"/>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left="0" w:leftChars="0" w:firstLine="0" w:firstLineChars="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left="0" w:leftChars="0" w:firstLine="0" w:firstLineChars="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6"/>
                      <w:ind w:left="0" w:leftChars="0" w:firstLine="0" w:firstLineChars="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ind w:left="0" w:leftChars="0" w:firstLine="0" w:firstLineChars="0"/>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C5WZn4yAgAAYwQAAA4AAAAAAAAAAQAgAAAA&#10;NQEAAGRycy9lMm9Eb2MueG1sUEsFBgAAAAAGAAYAWQEAANkFAAAAAA==&#10;">
              <v:fill on="f" focussize="0,0"/>
              <v:stroke on="f" weight="0.5pt"/>
              <v:imagedata o:title=""/>
              <o:lock v:ext="edit" aspectratio="f"/>
              <v:textbox inset="0mm,0mm,0mm,0mm" style="mso-fit-shape-to-text:t;">
                <w:txbxContent>
                  <w:p>
                    <w:pPr>
                      <w:pStyle w:val="16"/>
                      <w:ind w:left="0" w:leftChars="0" w:firstLine="0" w:firstLineChars="0"/>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hideSpellingErrors/>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hkZjFiM2M4ZTcwNDMwYjE1YTNlNTNhMmE1Yzk2NGEifQ=="/>
  </w:docVars>
  <w:rsids>
    <w:rsidRoot w:val="00B30BB4"/>
    <w:rsid w:val="00014093"/>
    <w:rsid w:val="00025CF7"/>
    <w:rsid w:val="000504D0"/>
    <w:rsid w:val="00052A77"/>
    <w:rsid w:val="000866D5"/>
    <w:rsid w:val="000D253D"/>
    <w:rsid w:val="000D77B2"/>
    <w:rsid w:val="000F46B8"/>
    <w:rsid w:val="00103143"/>
    <w:rsid w:val="001051C3"/>
    <w:rsid w:val="001069F2"/>
    <w:rsid w:val="001632E3"/>
    <w:rsid w:val="00172727"/>
    <w:rsid w:val="00186A67"/>
    <w:rsid w:val="00187FF6"/>
    <w:rsid w:val="002037BE"/>
    <w:rsid w:val="00210367"/>
    <w:rsid w:val="0024414B"/>
    <w:rsid w:val="00252536"/>
    <w:rsid w:val="002573DC"/>
    <w:rsid w:val="002877A5"/>
    <w:rsid w:val="002D1153"/>
    <w:rsid w:val="002D578A"/>
    <w:rsid w:val="002E798C"/>
    <w:rsid w:val="00313C20"/>
    <w:rsid w:val="00314726"/>
    <w:rsid w:val="00344590"/>
    <w:rsid w:val="00380E16"/>
    <w:rsid w:val="003E2D2C"/>
    <w:rsid w:val="003F795E"/>
    <w:rsid w:val="004066EC"/>
    <w:rsid w:val="004416AC"/>
    <w:rsid w:val="00442A9F"/>
    <w:rsid w:val="004C5259"/>
    <w:rsid w:val="004F4ABB"/>
    <w:rsid w:val="00527FC4"/>
    <w:rsid w:val="005337EC"/>
    <w:rsid w:val="00565ACC"/>
    <w:rsid w:val="0058195D"/>
    <w:rsid w:val="00584C2B"/>
    <w:rsid w:val="005C14C0"/>
    <w:rsid w:val="006078D0"/>
    <w:rsid w:val="00610658"/>
    <w:rsid w:val="00637DDF"/>
    <w:rsid w:val="0064606B"/>
    <w:rsid w:val="0067643A"/>
    <w:rsid w:val="00695CE4"/>
    <w:rsid w:val="006B23DF"/>
    <w:rsid w:val="006C1FD5"/>
    <w:rsid w:val="00750B5E"/>
    <w:rsid w:val="007833D5"/>
    <w:rsid w:val="00790931"/>
    <w:rsid w:val="007B4841"/>
    <w:rsid w:val="007E10DB"/>
    <w:rsid w:val="007E1EB7"/>
    <w:rsid w:val="007E59C7"/>
    <w:rsid w:val="00807D40"/>
    <w:rsid w:val="008131DD"/>
    <w:rsid w:val="00814BEF"/>
    <w:rsid w:val="00817782"/>
    <w:rsid w:val="008311DA"/>
    <w:rsid w:val="00835F78"/>
    <w:rsid w:val="00855FA8"/>
    <w:rsid w:val="00860990"/>
    <w:rsid w:val="008661D3"/>
    <w:rsid w:val="0088431B"/>
    <w:rsid w:val="00892DC5"/>
    <w:rsid w:val="00895113"/>
    <w:rsid w:val="008A6A52"/>
    <w:rsid w:val="008B23C8"/>
    <w:rsid w:val="00910080"/>
    <w:rsid w:val="009123D0"/>
    <w:rsid w:val="00940979"/>
    <w:rsid w:val="009764F9"/>
    <w:rsid w:val="00981C94"/>
    <w:rsid w:val="009A5768"/>
    <w:rsid w:val="009C52C9"/>
    <w:rsid w:val="009D5AA7"/>
    <w:rsid w:val="009E483B"/>
    <w:rsid w:val="009E6CFD"/>
    <w:rsid w:val="00A04A72"/>
    <w:rsid w:val="00A04AA6"/>
    <w:rsid w:val="00A43A9E"/>
    <w:rsid w:val="00A82A56"/>
    <w:rsid w:val="00A9138A"/>
    <w:rsid w:val="00A92CA1"/>
    <w:rsid w:val="00AA0A21"/>
    <w:rsid w:val="00AD4916"/>
    <w:rsid w:val="00AE34C6"/>
    <w:rsid w:val="00AF3F60"/>
    <w:rsid w:val="00B16ADE"/>
    <w:rsid w:val="00B30BB4"/>
    <w:rsid w:val="00B629E7"/>
    <w:rsid w:val="00B64912"/>
    <w:rsid w:val="00B81D8C"/>
    <w:rsid w:val="00B94ABB"/>
    <w:rsid w:val="00BA55A8"/>
    <w:rsid w:val="00BB3BC3"/>
    <w:rsid w:val="00BE447B"/>
    <w:rsid w:val="00BE52C7"/>
    <w:rsid w:val="00BE5DD3"/>
    <w:rsid w:val="00BF0F5A"/>
    <w:rsid w:val="00C12743"/>
    <w:rsid w:val="00C30819"/>
    <w:rsid w:val="00C370D0"/>
    <w:rsid w:val="00C40121"/>
    <w:rsid w:val="00C9732E"/>
    <w:rsid w:val="00CB0C06"/>
    <w:rsid w:val="00CC22EA"/>
    <w:rsid w:val="00CD0860"/>
    <w:rsid w:val="00CE19C6"/>
    <w:rsid w:val="00CF28C3"/>
    <w:rsid w:val="00CF4DD0"/>
    <w:rsid w:val="00CF7341"/>
    <w:rsid w:val="00D26E18"/>
    <w:rsid w:val="00D33230"/>
    <w:rsid w:val="00D517A5"/>
    <w:rsid w:val="00D93031"/>
    <w:rsid w:val="00DA38F2"/>
    <w:rsid w:val="00DD562A"/>
    <w:rsid w:val="00DF2D31"/>
    <w:rsid w:val="00E25095"/>
    <w:rsid w:val="00E3444A"/>
    <w:rsid w:val="00E42217"/>
    <w:rsid w:val="00E51C13"/>
    <w:rsid w:val="00E67D0C"/>
    <w:rsid w:val="00E75A3B"/>
    <w:rsid w:val="00EA6224"/>
    <w:rsid w:val="00EB2EB1"/>
    <w:rsid w:val="00EC07D2"/>
    <w:rsid w:val="00EE2BDE"/>
    <w:rsid w:val="00F10AEB"/>
    <w:rsid w:val="00F126F6"/>
    <w:rsid w:val="00F31445"/>
    <w:rsid w:val="00F40D78"/>
    <w:rsid w:val="00F713BB"/>
    <w:rsid w:val="00F95572"/>
    <w:rsid w:val="00FB3A55"/>
    <w:rsid w:val="00FC340F"/>
    <w:rsid w:val="02112DAA"/>
    <w:rsid w:val="028123F9"/>
    <w:rsid w:val="028C15A3"/>
    <w:rsid w:val="02CC4F5A"/>
    <w:rsid w:val="0394490C"/>
    <w:rsid w:val="03EF755C"/>
    <w:rsid w:val="03F16FCF"/>
    <w:rsid w:val="040E7B20"/>
    <w:rsid w:val="04742C29"/>
    <w:rsid w:val="048E28D1"/>
    <w:rsid w:val="04C609C8"/>
    <w:rsid w:val="060B5EA3"/>
    <w:rsid w:val="06587182"/>
    <w:rsid w:val="068117C8"/>
    <w:rsid w:val="069149A8"/>
    <w:rsid w:val="06916C4D"/>
    <w:rsid w:val="07683B78"/>
    <w:rsid w:val="07A059A4"/>
    <w:rsid w:val="07A229F3"/>
    <w:rsid w:val="07CB1108"/>
    <w:rsid w:val="09E170F0"/>
    <w:rsid w:val="0A476348"/>
    <w:rsid w:val="0B09006A"/>
    <w:rsid w:val="0B1058E9"/>
    <w:rsid w:val="0B980BE5"/>
    <w:rsid w:val="0BA02C52"/>
    <w:rsid w:val="0BDC2799"/>
    <w:rsid w:val="0C8F02B6"/>
    <w:rsid w:val="0CE046D1"/>
    <w:rsid w:val="0CE712E5"/>
    <w:rsid w:val="0CE822F8"/>
    <w:rsid w:val="0D91471B"/>
    <w:rsid w:val="0FCA32D9"/>
    <w:rsid w:val="10044A9B"/>
    <w:rsid w:val="1017657C"/>
    <w:rsid w:val="10D311D7"/>
    <w:rsid w:val="10D6067F"/>
    <w:rsid w:val="11235D25"/>
    <w:rsid w:val="1130567C"/>
    <w:rsid w:val="11F74C8A"/>
    <w:rsid w:val="13827CC1"/>
    <w:rsid w:val="13E376F2"/>
    <w:rsid w:val="14337AA2"/>
    <w:rsid w:val="15AE7982"/>
    <w:rsid w:val="16093B28"/>
    <w:rsid w:val="16A40A1B"/>
    <w:rsid w:val="17BC0487"/>
    <w:rsid w:val="17DF1E9A"/>
    <w:rsid w:val="184F3E90"/>
    <w:rsid w:val="18733D85"/>
    <w:rsid w:val="18B70F7B"/>
    <w:rsid w:val="19595781"/>
    <w:rsid w:val="19BB13D8"/>
    <w:rsid w:val="19BE2CFB"/>
    <w:rsid w:val="1A8950FC"/>
    <w:rsid w:val="1B1720F1"/>
    <w:rsid w:val="1B582DFD"/>
    <w:rsid w:val="1BCA4827"/>
    <w:rsid w:val="1BD70088"/>
    <w:rsid w:val="1BDE4151"/>
    <w:rsid w:val="1C361BC2"/>
    <w:rsid w:val="1C383467"/>
    <w:rsid w:val="1C786B4E"/>
    <w:rsid w:val="1C95164A"/>
    <w:rsid w:val="1CF205DC"/>
    <w:rsid w:val="20AF2801"/>
    <w:rsid w:val="20BF06E3"/>
    <w:rsid w:val="214D6BFC"/>
    <w:rsid w:val="22CE6D95"/>
    <w:rsid w:val="22CF3841"/>
    <w:rsid w:val="236B5C11"/>
    <w:rsid w:val="237C1BC7"/>
    <w:rsid w:val="24BB0334"/>
    <w:rsid w:val="25155281"/>
    <w:rsid w:val="26580E72"/>
    <w:rsid w:val="267959CE"/>
    <w:rsid w:val="26B476AE"/>
    <w:rsid w:val="27B17D63"/>
    <w:rsid w:val="27EE079A"/>
    <w:rsid w:val="289A13CE"/>
    <w:rsid w:val="2A0C62FC"/>
    <w:rsid w:val="2B0F2F4D"/>
    <w:rsid w:val="2E18606D"/>
    <w:rsid w:val="2E942E93"/>
    <w:rsid w:val="2EBC05C2"/>
    <w:rsid w:val="2ED25C6A"/>
    <w:rsid w:val="2EE72DB8"/>
    <w:rsid w:val="2EF715B2"/>
    <w:rsid w:val="2F2756AC"/>
    <w:rsid w:val="2FDD4C94"/>
    <w:rsid w:val="30710D8C"/>
    <w:rsid w:val="30D5069D"/>
    <w:rsid w:val="3184534F"/>
    <w:rsid w:val="319D7A65"/>
    <w:rsid w:val="325755AC"/>
    <w:rsid w:val="329F3FCE"/>
    <w:rsid w:val="336254B1"/>
    <w:rsid w:val="347D40B7"/>
    <w:rsid w:val="35260BB5"/>
    <w:rsid w:val="3716744D"/>
    <w:rsid w:val="37631932"/>
    <w:rsid w:val="37B74D8C"/>
    <w:rsid w:val="38BC3AA6"/>
    <w:rsid w:val="38F46248"/>
    <w:rsid w:val="3914507D"/>
    <w:rsid w:val="39DA600C"/>
    <w:rsid w:val="3A94619E"/>
    <w:rsid w:val="3AC058DE"/>
    <w:rsid w:val="3AD4138A"/>
    <w:rsid w:val="3AFD5A24"/>
    <w:rsid w:val="3B743EAE"/>
    <w:rsid w:val="3BB05305"/>
    <w:rsid w:val="3D3A518C"/>
    <w:rsid w:val="3E326A26"/>
    <w:rsid w:val="3F3F4E51"/>
    <w:rsid w:val="3FB311D3"/>
    <w:rsid w:val="3FD25AC9"/>
    <w:rsid w:val="3FF786B5"/>
    <w:rsid w:val="3FF7942B"/>
    <w:rsid w:val="40512C40"/>
    <w:rsid w:val="40955508"/>
    <w:rsid w:val="409E205B"/>
    <w:rsid w:val="40FC587D"/>
    <w:rsid w:val="43542BAA"/>
    <w:rsid w:val="438374A9"/>
    <w:rsid w:val="449615B7"/>
    <w:rsid w:val="44DE20BF"/>
    <w:rsid w:val="44E936DF"/>
    <w:rsid w:val="45066F9F"/>
    <w:rsid w:val="46021E85"/>
    <w:rsid w:val="4607218B"/>
    <w:rsid w:val="460826BD"/>
    <w:rsid w:val="467D4DFE"/>
    <w:rsid w:val="46D95B57"/>
    <w:rsid w:val="46E354EB"/>
    <w:rsid w:val="47451645"/>
    <w:rsid w:val="48685BBD"/>
    <w:rsid w:val="48C35FF0"/>
    <w:rsid w:val="4967168F"/>
    <w:rsid w:val="497D08B3"/>
    <w:rsid w:val="4AD04E79"/>
    <w:rsid w:val="4B913DB4"/>
    <w:rsid w:val="4BE078BC"/>
    <w:rsid w:val="4C3C0623"/>
    <w:rsid w:val="4D5C4A79"/>
    <w:rsid w:val="4F3D34DB"/>
    <w:rsid w:val="4FA41685"/>
    <w:rsid w:val="4FC30FBB"/>
    <w:rsid w:val="50800536"/>
    <w:rsid w:val="50A23467"/>
    <w:rsid w:val="51340035"/>
    <w:rsid w:val="52603EDF"/>
    <w:rsid w:val="52EB4207"/>
    <w:rsid w:val="53451595"/>
    <w:rsid w:val="53CC08F2"/>
    <w:rsid w:val="53CF538E"/>
    <w:rsid w:val="53E9304C"/>
    <w:rsid w:val="550350AF"/>
    <w:rsid w:val="55724863"/>
    <w:rsid w:val="561E43C9"/>
    <w:rsid w:val="569405B0"/>
    <w:rsid w:val="56D8022A"/>
    <w:rsid w:val="57177B0E"/>
    <w:rsid w:val="574C6400"/>
    <w:rsid w:val="57CD5911"/>
    <w:rsid w:val="58D96818"/>
    <w:rsid w:val="5943175D"/>
    <w:rsid w:val="5A0752CB"/>
    <w:rsid w:val="5BAA4E6A"/>
    <w:rsid w:val="5BB31F8A"/>
    <w:rsid w:val="5D065893"/>
    <w:rsid w:val="5DB33D42"/>
    <w:rsid w:val="5DE73639"/>
    <w:rsid w:val="5DFC590F"/>
    <w:rsid w:val="5E410DE1"/>
    <w:rsid w:val="5F7951BB"/>
    <w:rsid w:val="5FE64159"/>
    <w:rsid w:val="6073116A"/>
    <w:rsid w:val="60C11F71"/>
    <w:rsid w:val="60CD4FE7"/>
    <w:rsid w:val="6256096B"/>
    <w:rsid w:val="62AD4C68"/>
    <w:rsid w:val="63B44D7A"/>
    <w:rsid w:val="65B67C01"/>
    <w:rsid w:val="673F0554"/>
    <w:rsid w:val="67CA2856"/>
    <w:rsid w:val="67CA6EA5"/>
    <w:rsid w:val="67CC65F6"/>
    <w:rsid w:val="687F42A8"/>
    <w:rsid w:val="68BE06EE"/>
    <w:rsid w:val="68D27CA8"/>
    <w:rsid w:val="69733E8A"/>
    <w:rsid w:val="6A4E6F81"/>
    <w:rsid w:val="6A876FCF"/>
    <w:rsid w:val="6A9D37CA"/>
    <w:rsid w:val="6AB23954"/>
    <w:rsid w:val="6C9D6230"/>
    <w:rsid w:val="6CB44E9D"/>
    <w:rsid w:val="6D0C5E88"/>
    <w:rsid w:val="6D994364"/>
    <w:rsid w:val="6DB25190"/>
    <w:rsid w:val="6E50244E"/>
    <w:rsid w:val="6EC002D3"/>
    <w:rsid w:val="6F0A196D"/>
    <w:rsid w:val="6F3907E0"/>
    <w:rsid w:val="6FAD795D"/>
    <w:rsid w:val="6FEE1D82"/>
    <w:rsid w:val="70B907C4"/>
    <w:rsid w:val="71245578"/>
    <w:rsid w:val="714A47C0"/>
    <w:rsid w:val="71622A9A"/>
    <w:rsid w:val="71B3347B"/>
    <w:rsid w:val="71B33F00"/>
    <w:rsid w:val="72E0259E"/>
    <w:rsid w:val="739E05AD"/>
    <w:rsid w:val="740A7AA4"/>
    <w:rsid w:val="7430696E"/>
    <w:rsid w:val="74A454FD"/>
    <w:rsid w:val="75230343"/>
    <w:rsid w:val="759102AD"/>
    <w:rsid w:val="762C5B5A"/>
    <w:rsid w:val="76D0185E"/>
    <w:rsid w:val="77BDF265"/>
    <w:rsid w:val="77C61210"/>
    <w:rsid w:val="77CD26AE"/>
    <w:rsid w:val="788D4681"/>
    <w:rsid w:val="78C7167B"/>
    <w:rsid w:val="78E91642"/>
    <w:rsid w:val="79107167"/>
    <w:rsid w:val="79810A1E"/>
    <w:rsid w:val="7BA04256"/>
    <w:rsid w:val="7BA14958"/>
    <w:rsid w:val="7BBD1A94"/>
    <w:rsid w:val="7C384180"/>
    <w:rsid w:val="7D705D35"/>
    <w:rsid w:val="7EC13A48"/>
    <w:rsid w:val="7ED37ED2"/>
    <w:rsid w:val="7F1C7D52"/>
    <w:rsid w:val="7F392ECB"/>
    <w:rsid w:val="B7728B71"/>
    <w:rsid w:val="BFFAA1D6"/>
    <w:rsid w:val="EFF3264B"/>
    <w:rsid w:val="FB9D5BA7"/>
    <w:rsid w:val="FFF59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 w:cstheme="minorBidi"/>
      <w:kern w:val="2"/>
      <w:sz w:val="28"/>
      <w:szCs w:val="24"/>
      <w:lang w:val="en-US" w:eastAsia="zh-CN" w:bidi="ar-SA"/>
    </w:rPr>
  </w:style>
  <w:style w:type="paragraph" w:styleId="3">
    <w:name w:val="heading 1"/>
    <w:basedOn w:val="4"/>
    <w:next w:val="5"/>
    <w:qFormat/>
    <w:uiPriority w:val="0"/>
    <w:pPr>
      <w:keepNext/>
      <w:keepLines w:val="0"/>
      <w:pageBreakBefore/>
      <w:widowControl/>
      <w:spacing w:before="300" w:after="200" w:line="560" w:lineRule="exact"/>
      <w:ind w:firstLine="0" w:firstLineChars="0"/>
      <w:outlineLvl w:val="0"/>
    </w:pPr>
    <w:rPr>
      <w:rFonts w:eastAsia="宋体" w:asciiTheme="minorAscii" w:hAnsiTheme="minorAscii"/>
      <w:kern w:val="44"/>
      <w:sz w:val="36"/>
    </w:rPr>
  </w:style>
  <w:style w:type="paragraph" w:styleId="5">
    <w:name w:val="heading 2"/>
    <w:basedOn w:val="1"/>
    <w:next w:val="1"/>
    <w:unhideWhenUsed/>
    <w:qFormat/>
    <w:uiPriority w:val="0"/>
    <w:pPr>
      <w:keepNext/>
      <w:keepLines/>
      <w:pageBreakBefore w:val="0"/>
      <w:widowControl/>
      <w:spacing w:before="200" w:after="100" w:line="560" w:lineRule="exact"/>
      <w:ind w:firstLine="0" w:firstLineChars="0"/>
      <w:jc w:val="left"/>
      <w:outlineLvl w:val="1"/>
    </w:pPr>
    <w:rPr>
      <w:rFonts w:ascii="Arial" w:hAnsi="Arial"/>
      <w:b/>
      <w:sz w:val="32"/>
    </w:rPr>
  </w:style>
  <w:style w:type="paragraph" w:styleId="2">
    <w:name w:val="heading 3"/>
    <w:basedOn w:val="1"/>
    <w:next w:val="1"/>
    <w:link w:val="80"/>
    <w:qFormat/>
    <w:uiPriority w:val="0"/>
    <w:pPr>
      <w:keepNext/>
      <w:keepLines/>
      <w:widowControl/>
      <w:spacing w:before="100" w:line="560" w:lineRule="exact"/>
      <w:ind w:firstLine="880" w:firstLineChars="200"/>
      <w:jc w:val="left"/>
      <w:outlineLvl w:val="2"/>
    </w:pPr>
    <w:rPr>
      <w:rFonts w:asciiTheme="minorAscii" w:hAnsiTheme="minorAscii"/>
      <w:b/>
      <w:bCs/>
      <w:szCs w:val="32"/>
    </w:rPr>
  </w:style>
  <w:style w:type="paragraph" w:styleId="6">
    <w:name w:val="heading 4"/>
    <w:basedOn w:val="1"/>
    <w:next w:val="1"/>
    <w:unhideWhenUsed/>
    <w:qFormat/>
    <w:uiPriority w:val="0"/>
    <w:pPr>
      <w:keepNext/>
      <w:keepLines w:val="0"/>
      <w:widowControl/>
      <w:spacing w:line="560" w:lineRule="exact"/>
      <w:ind w:firstLine="880" w:firstLineChars="200"/>
      <w:outlineLvl w:val="3"/>
    </w:pPr>
    <w:rPr>
      <w:rFonts w:ascii="仿宋" w:hAnsi="仿宋" w:eastAsia="仿宋"/>
      <w:b/>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7">
    <w:name w:val="toc 7"/>
    <w:basedOn w:val="1"/>
    <w:next w:val="1"/>
    <w:qFormat/>
    <w:uiPriority w:val="39"/>
    <w:pPr>
      <w:ind w:left="1260"/>
      <w:jc w:val="left"/>
    </w:pPr>
    <w:rPr>
      <w:rFonts w:cstheme="minorHAnsi"/>
      <w:sz w:val="18"/>
      <w:szCs w:val="18"/>
    </w:rPr>
  </w:style>
  <w:style w:type="paragraph" w:styleId="8">
    <w:name w:val="table of authorities"/>
    <w:basedOn w:val="1"/>
    <w:next w:val="1"/>
    <w:unhideWhenUsed/>
    <w:qFormat/>
    <w:uiPriority w:val="99"/>
    <w:pPr>
      <w:ind w:left="420" w:leftChars="200"/>
    </w:pPr>
  </w:style>
  <w:style w:type="paragraph" w:styleId="9">
    <w:name w:val="annotation text"/>
    <w:basedOn w:val="1"/>
    <w:qFormat/>
    <w:uiPriority w:val="0"/>
    <w:pPr>
      <w:jc w:val="left"/>
    </w:pPr>
  </w:style>
  <w:style w:type="paragraph" w:styleId="10">
    <w:name w:val="Body Text"/>
    <w:basedOn w:val="1"/>
    <w:qFormat/>
    <w:uiPriority w:val="0"/>
    <w:pPr>
      <w:spacing w:after="120"/>
    </w:pPr>
  </w:style>
  <w:style w:type="paragraph" w:styleId="11">
    <w:name w:val="Body Text Indent"/>
    <w:basedOn w:val="1"/>
    <w:link w:val="38"/>
    <w:qFormat/>
    <w:uiPriority w:val="99"/>
    <w:pPr>
      <w:spacing w:after="120"/>
      <w:ind w:left="420" w:leftChars="200"/>
    </w:pPr>
  </w:style>
  <w:style w:type="paragraph" w:styleId="12">
    <w:name w:val="toc 5"/>
    <w:basedOn w:val="1"/>
    <w:next w:val="1"/>
    <w:qFormat/>
    <w:uiPriority w:val="39"/>
    <w:pPr>
      <w:ind w:left="840"/>
      <w:jc w:val="left"/>
    </w:pPr>
    <w:rPr>
      <w:rFonts w:cstheme="minorHAnsi"/>
      <w:sz w:val="18"/>
      <w:szCs w:val="18"/>
    </w:rPr>
  </w:style>
  <w:style w:type="paragraph" w:styleId="13">
    <w:name w:val="toc 3"/>
    <w:basedOn w:val="1"/>
    <w:next w:val="1"/>
    <w:qFormat/>
    <w:uiPriority w:val="39"/>
    <w:pPr>
      <w:ind w:left="420"/>
      <w:jc w:val="left"/>
    </w:pPr>
    <w:rPr>
      <w:rFonts w:cstheme="minorHAnsi"/>
      <w:i/>
      <w:iCs/>
      <w:sz w:val="20"/>
      <w:szCs w:val="20"/>
    </w:rPr>
  </w:style>
  <w:style w:type="paragraph" w:styleId="14">
    <w:name w:val="toc 8"/>
    <w:basedOn w:val="1"/>
    <w:next w:val="1"/>
    <w:qFormat/>
    <w:uiPriority w:val="39"/>
    <w:pPr>
      <w:ind w:left="1470"/>
      <w:jc w:val="left"/>
    </w:pPr>
    <w:rPr>
      <w:rFonts w:cstheme="minorHAnsi"/>
      <w:sz w:val="18"/>
      <w:szCs w:val="18"/>
    </w:rPr>
  </w:style>
  <w:style w:type="paragraph" w:styleId="15">
    <w:name w:val="Body Text Indent 2"/>
    <w:basedOn w:val="1"/>
    <w:qFormat/>
    <w:uiPriority w:val="0"/>
    <w:pPr>
      <w:spacing w:line="360" w:lineRule="auto"/>
      <w:ind w:firstLine="554"/>
    </w:pPr>
    <w:rPr>
      <w:rFonts w:ascii="仿宋_GB2312" w:hAnsi="宋体" w:eastAsia="仿宋_GB2312" w:cs="Times New Roman"/>
      <w:sz w:val="28"/>
      <w:szCs w:val="20"/>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qFormat/>
    <w:uiPriority w:val="39"/>
    <w:pPr>
      <w:spacing w:before="120" w:after="120"/>
      <w:jc w:val="left"/>
    </w:pPr>
    <w:rPr>
      <w:rFonts w:cstheme="minorHAnsi"/>
      <w:b/>
      <w:bCs/>
      <w:caps/>
      <w:sz w:val="20"/>
      <w:szCs w:val="20"/>
    </w:rPr>
  </w:style>
  <w:style w:type="paragraph" w:styleId="19">
    <w:name w:val="toc 4"/>
    <w:basedOn w:val="1"/>
    <w:next w:val="1"/>
    <w:qFormat/>
    <w:uiPriority w:val="39"/>
    <w:pPr>
      <w:ind w:left="630"/>
      <w:jc w:val="left"/>
    </w:pPr>
    <w:rPr>
      <w:rFonts w:cstheme="minorHAnsi"/>
      <w:sz w:val="18"/>
      <w:szCs w:val="18"/>
    </w:rPr>
  </w:style>
  <w:style w:type="paragraph" w:styleId="20">
    <w:name w:val="toc 6"/>
    <w:basedOn w:val="1"/>
    <w:next w:val="1"/>
    <w:qFormat/>
    <w:uiPriority w:val="39"/>
    <w:pPr>
      <w:ind w:left="1050"/>
      <w:jc w:val="left"/>
    </w:pPr>
    <w:rPr>
      <w:rFonts w:cstheme="minorHAnsi"/>
      <w:sz w:val="18"/>
      <w:szCs w:val="18"/>
    </w:rPr>
  </w:style>
  <w:style w:type="paragraph" w:styleId="21">
    <w:name w:val="toc 2"/>
    <w:basedOn w:val="1"/>
    <w:next w:val="1"/>
    <w:qFormat/>
    <w:uiPriority w:val="39"/>
    <w:pPr>
      <w:ind w:left="210"/>
      <w:jc w:val="left"/>
    </w:pPr>
    <w:rPr>
      <w:rFonts w:cstheme="minorHAnsi"/>
      <w:smallCaps/>
      <w:sz w:val="20"/>
      <w:szCs w:val="20"/>
    </w:rPr>
  </w:style>
  <w:style w:type="paragraph" w:styleId="22">
    <w:name w:val="toc 9"/>
    <w:basedOn w:val="1"/>
    <w:next w:val="1"/>
    <w:qFormat/>
    <w:uiPriority w:val="39"/>
    <w:pPr>
      <w:ind w:left="1680"/>
      <w:jc w:val="left"/>
    </w:pPr>
    <w:rPr>
      <w:rFonts w:cstheme="minorHAnsi"/>
      <w:sz w:val="18"/>
      <w:szCs w:val="18"/>
    </w:rPr>
  </w:style>
  <w:style w:type="paragraph" w:styleId="23">
    <w:name w:val="Normal (Web)"/>
    <w:basedOn w:val="1"/>
    <w:qFormat/>
    <w:uiPriority w:val="0"/>
    <w:pPr>
      <w:spacing w:beforeAutospacing="1" w:afterAutospacing="1"/>
      <w:jc w:val="left"/>
    </w:pPr>
    <w:rPr>
      <w:rFonts w:cs="Times New Roman"/>
      <w:kern w:val="0"/>
      <w:sz w:val="24"/>
    </w:rPr>
  </w:style>
  <w:style w:type="paragraph" w:styleId="24">
    <w:name w:val="Body Text First Indent 2"/>
    <w:basedOn w:val="11"/>
    <w:link w:val="39"/>
    <w:qFormat/>
    <w:uiPriority w:val="99"/>
    <w:pPr>
      <w:ind w:firstLine="420" w:firstLineChars="200"/>
    </w:p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rPr>
  </w:style>
  <w:style w:type="character" w:styleId="29">
    <w:name w:val="FollowedHyperlink"/>
    <w:basedOn w:val="27"/>
    <w:qFormat/>
    <w:uiPriority w:val="99"/>
    <w:rPr>
      <w:color w:val="338DE6"/>
      <w:u w:val="none"/>
    </w:rPr>
  </w:style>
  <w:style w:type="character" w:styleId="30">
    <w:name w:val="Emphasis"/>
    <w:basedOn w:val="27"/>
    <w:qFormat/>
    <w:uiPriority w:val="0"/>
  </w:style>
  <w:style w:type="character" w:styleId="31">
    <w:name w:val="HTML Definition"/>
    <w:basedOn w:val="27"/>
    <w:qFormat/>
    <w:uiPriority w:val="0"/>
  </w:style>
  <w:style w:type="character" w:styleId="32">
    <w:name w:val="HTML Variable"/>
    <w:basedOn w:val="27"/>
    <w:qFormat/>
    <w:uiPriority w:val="0"/>
  </w:style>
  <w:style w:type="character" w:styleId="33">
    <w:name w:val="Hyperlink"/>
    <w:qFormat/>
    <w:uiPriority w:val="99"/>
    <w:rPr>
      <w:color w:val="0000FF"/>
      <w:u w:val="single"/>
    </w:rPr>
  </w:style>
  <w:style w:type="character" w:styleId="34">
    <w:name w:val="HTML Code"/>
    <w:basedOn w:val="27"/>
    <w:qFormat/>
    <w:uiPriority w:val="0"/>
    <w:rPr>
      <w:rFonts w:hint="default" w:ascii="serif" w:hAnsi="serif" w:eastAsia="serif" w:cs="serif"/>
      <w:sz w:val="21"/>
      <w:szCs w:val="21"/>
    </w:rPr>
  </w:style>
  <w:style w:type="character" w:styleId="35">
    <w:name w:val="HTML Cite"/>
    <w:basedOn w:val="27"/>
    <w:qFormat/>
    <w:uiPriority w:val="0"/>
  </w:style>
  <w:style w:type="character" w:styleId="36">
    <w:name w:val="HTML Keyboard"/>
    <w:basedOn w:val="27"/>
    <w:qFormat/>
    <w:uiPriority w:val="0"/>
    <w:rPr>
      <w:rFonts w:ascii="serif" w:hAnsi="serif" w:eastAsia="serif" w:cs="serif"/>
      <w:sz w:val="21"/>
      <w:szCs w:val="21"/>
    </w:rPr>
  </w:style>
  <w:style w:type="character" w:styleId="37">
    <w:name w:val="HTML Sample"/>
    <w:basedOn w:val="27"/>
    <w:qFormat/>
    <w:uiPriority w:val="0"/>
    <w:rPr>
      <w:rFonts w:hint="default" w:ascii="serif" w:hAnsi="serif" w:eastAsia="serif" w:cs="serif"/>
      <w:sz w:val="21"/>
      <w:szCs w:val="21"/>
    </w:rPr>
  </w:style>
  <w:style w:type="character" w:customStyle="1" w:styleId="38">
    <w:name w:val="正文文本缩进 字符"/>
    <w:basedOn w:val="27"/>
    <w:link w:val="11"/>
    <w:qFormat/>
    <w:uiPriority w:val="99"/>
    <w:rPr>
      <w:rFonts w:asciiTheme="minorHAnsi" w:hAnsiTheme="minorHAnsi" w:eastAsiaTheme="minorEastAsia" w:cstheme="minorBidi"/>
      <w:kern w:val="2"/>
      <w:sz w:val="21"/>
      <w:szCs w:val="24"/>
    </w:rPr>
  </w:style>
  <w:style w:type="character" w:customStyle="1" w:styleId="39">
    <w:name w:val="正文文本首行缩进 2 字符"/>
    <w:basedOn w:val="38"/>
    <w:link w:val="24"/>
    <w:qFormat/>
    <w:uiPriority w:val="99"/>
    <w:rPr>
      <w:rFonts w:asciiTheme="minorHAnsi" w:hAnsiTheme="minorHAnsi" w:eastAsiaTheme="minorEastAsia" w:cstheme="minorBidi"/>
      <w:kern w:val="2"/>
      <w:sz w:val="21"/>
      <w:szCs w:val="24"/>
    </w:rPr>
  </w:style>
  <w:style w:type="paragraph" w:customStyle="1" w:styleId="40">
    <w:name w:val="WPSOffice手动目录 1"/>
    <w:qFormat/>
    <w:uiPriority w:val="0"/>
    <w:rPr>
      <w:rFonts w:ascii="Times New Roman" w:hAnsi="Times New Roman" w:eastAsia="宋体" w:cs="Times New Roman"/>
      <w:lang w:val="en-US" w:eastAsia="zh-CN" w:bidi="ar-SA"/>
    </w:rPr>
  </w:style>
  <w:style w:type="paragraph" w:customStyle="1" w:styleId="4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2">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43">
    <w:name w:val="fontborder"/>
    <w:basedOn w:val="27"/>
    <w:qFormat/>
    <w:uiPriority w:val="0"/>
    <w:rPr>
      <w:bdr w:val="single" w:color="000000" w:sz="6" w:space="0"/>
    </w:rPr>
  </w:style>
  <w:style w:type="character" w:customStyle="1" w:styleId="44">
    <w:name w:val="fontstrikethrough"/>
    <w:basedOn w:val="27"/>
    <w:qFormat/>
    <w:uiPriority w:val="0"/>
    <w:rPr>
      <w:strike/>
    </w:rPr>
  </w:style>
  <w:style w:type="character" w:customStyle="1" w:styleId="45">
    <w:name w:val="options"/>
    <w:basedOn w:val="27"/>
    <w:qFormat/>
    <w:uiPriority w:val="0"/>
  </w:style>
  <w:style w:type="character" w:customStyle="1" w:styleId="46">
    <w:name w:val="onsale"/>
    <w:basedOn w:val="27"/>
    <w:qFormat/>
    <w:uiPriority w:val="0"/>
    <w:rPr>
      <w:color w:val="FFFFFF"/>
    </w:rPr>
  </w:style>
  <w:style w:type="character" w:customStyle="1" w:styleId="47">
    <w:name w:val="onsale1"/>
    <w:basedOn w:val="27"/>
    <w:qFormat/>
    <w:uiPriority w:val="0"/>
    <w:rPr>
      <w:sz w:val="18"/>
      <w:szCs w:val="18"/>
    </w:rPr>
  </w:style>
  <w:style w:type="character" w:customStyle="1" w:styleId="48">
    <w:name w:val="swiper-pagination-bullet-active2"/>
    <w:basedOn w:val="27"/>
    <w:qFormat/>
    <w:uiPriority w:val="0"/>
    <w:rPr>
      <w:shd w:val="clear" w:color="auto" w:fill="E1244E"/>
    </w:rPr>
  </w:style>
  <w:style w:type="character" w:customStyle="1" w:styleId="49">
    <w:name w:val="cart-contents"/>
    <w:basedOn w:val="27"/>
    <w:qFormat/>
    <w:uiPriority w:val="0"/>
    <w:rPr>
      <w:color w:val="FFFFFF"/>
      <w:sz w:val="18"/>
      <w:szCs w:val="18"/>
      <w:shd w:val="clear" w:color="auto" w:fill="232323"/>
    </w:rPr>
  </w:style>
  <w:style w:type="character" w:customStyle="1" w:styleId="50">
    <w:name w:val="before4"/>
    <w:basedOn w:val="27"/>
    <w:qFormat/>
    <w:uiPriority w:val="0"/>
  </w:style>
  <w:style w:type="character" w:customStyle="1" w:styleId="51">
    <w:name w:val="before5"/>
    <w:basedOn w:val="27"/>
    <w:qFormat/>
    <w:uiPriority w:val="0"/>
    <w:rPr>
      <w:color w:val="000000"/>
    </w:rPr>
  </w:style>
  <w:style w:type="character" w:customStyle="1" w:styleId="52">
    <w:name w:val="active11"/>
    <w:basedOn w:val="27"/>
    <w:qFormat/>
    <w:uiPriority w:val="0"/>
    <w:rPr>
      <w:shd w:val="clear" w:color="auto" w:fill="FF4500"/>
    </w:rPr>
  </w:style>
  <w:style w:type="character" w:customStyle="1" w:styleId="53">
    <w:name w:val="prop-span"/>
    <w:basedOn w:val="27"/>
    <w:qFormat/>
    <w:uiPriority w:val="0"/>
  </w:style>
  <w:style w:type="character" w:customStyle="1" w:styleId="54">
    <w:name w:val="font71"/>
    <w:basedOn w:val="27"/>
    <w:qFormat/>
    <w:uiPriority w:val="0"/>
    <w:rPr>
      <w:rFonts w:hint="eastAsia" w:ascii="宋体" w:hAnsi="宋体" w:eastAsia="宋体" w:cs="宋体"/>
      <w:color w:val="000000"/>
      <w:sz w:val="22"/>
      <w:szCs w:val="22"/>
      <w:u w:val="none"/>
    </w:rPr>
  </w:style>
  <w:style w:type="character" w:customStyle="1" w:styleId="55">
    <w:name w:val="font01"/>
    <w:basedOn w:val="27"/>
    <w:qFormat/>
    <w:uiPriority w:val="0"/>
    <w:rPr>
      <w:rFonts w:hint="eastAsia" w:ascii="宋体" w:hAnsi="宋体" w:eastAsia="宋体" w:cs="宋体"/>
      <w:b/>
      <w:color w:val="000000"/>
      <w:sz w:val="22"/>
      <w:szCs w:val="22"/>
      <w:u w:val="none"/>
    </w:rPr>
  </w:style>
  <w:style w:type="character" w:customStyle="1" w:styleId="56">
    <w:name w:val="font41"/>
    <w:basedOn w:val="27"/>
    <w:qFormat/>
    <w:uiPriority w:val="0"/>
    <w:rPr>
      <w:rFonts w:hint="eastAsia" w:ascii="宋体" w:hAnsi="宋体" w:eastAsia="宋体" w:cs="宋体"/>
      <w:color w:val="000000"/>
      <w:sz w:val="22"/>
      <w:szCs w:val="22"/>
      <w:u w:val="none"/>
    </w:rPr>
  </w:style>
  <w:style w:type="character" w:customStyle="1" w:styleId="57">
    <w:name w:val="font51"/>
    <w:basedOn w:val="27"/>
    <w:qFormat/>
    <w:uiPriority w:val="0"/>
    <w:rPr>
      <w:rFonts w:hint="eastAsia" w:ascii="宋体" w:hAnsi="宋体" w:eastAsia="宋体" w:cs="宋体"/>
      <w:color w:val="000000"/>
      <w:sz w:val="22"/>
      <w:szCs w:val="22"/>
      <w:u w:val="none"/>
    </w:rPr>
  </w:style>
  <w:style w:type="character" w:customStyle="1" w:styleId="58">
    <w:name w:val="font11"/>
    <w:basedOn w:val="27"/>
    <w:qFormat/>
    <w:uiPriority w:val="0"/>
    <w:rPr>
      <w:rFonts w:hint="eastAsia" w:ascii="宋体" w:hAnsi="宋体" w:eastAsia="宋体" w:cs="宋体"/>
      <w:b/>
      <w:color w:val="000000"/>
      <w:sz w:val="24"/>
      <w:szCs w:val="24"/>
      <w:u w:val="none"/>
    </w:rPr>
  </w:style>
  <w:style w:type="paragraph" w:customStyle="1" w:styleId="59">
    <w:name w:val="abstract"/>
    <w:basedOn w:val="1"/>
    <w:qFormat/>
    <w:uiPriority w:val="0"/>
    <w:pPr>
      <w:jc w:val="left"/>
    </w:pPr>
    <w:rPr>
      <w:rFonts w:cs="Times New Roman"/>
      <w:color w:val="666666"/>
      <w:kern w:val="0"/>
    </w:rPr>
  </w:style>
  <w:style w:type="character" w:customStyle="1" w:styleId="60">
    <w:name w:val="bg"/>
    <w:basedOn w:val="27"/>
    <w:qFormat/>
    <w:uiPriority w:val="0"/>
  </w:style>
  <w:style w:type="paragraph" w:styleId="61">
    <w:name w:val="List Paragraph"/>
    <w:basedOn w:val="1"/>
    <w:qFormat/>
    <w:uiPriority w:val="99"/>
    <w:pPr>
      <w:ind w:firstLine="420" w:firstLineChars="200"/>
    </w:pPr>
  </w:style>
  <w:style w:type="character" w:customStyle="1" w:styleId="62">
    <w:name w:val="font21"/>
    <w:basedOn w:val="27"/>
    <w:qFormat/>
    <w:uiPriority w:val="0"/>
    <w:rPr>
      <w:rFonts w:hint="eastAsia" w:ascii="宋体" w:hAnsi="宋体" w:eastAsia="宋体" w:cs="宋体"/>
      <w:color w:val="000000"/>
      <w:sz w:val="22"/>
      <w:szCs w:val="22"/>
      <w:u w:val="none"/>
    </w:rPr>
  </w:style>
  <w:style w:type="paragraph" w:customStyle="1" w:styleId="63">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4">
    <w:name w:val="font31"/>
    <w:basedOn w:val="27"/>
    <w:qFormat/>
    <w:uiPriority w:val="0"/>
    <w:rPr>
      <w:rFonts w:hint="eastAsia" w:ascii="宋体" w:hAnsi="宋体" w:eastAsia="宋体" w:cs="宋体"/>
      <w:color w:val="000000"/>
      <w:sz w:val="20"/>
      <w:szCs w:val="20"/>
      <w:u w:val="none"/>
    </w:rPr>
  </w:style>
  <w:style w:type="paragraph" w:customStyle="1" w:styleId="65">
    <w:name w:val="表格"/>
    <w:basedOn w:val="66"/>
    <w:qFormat/>
    <w:uiPriority w:val="0"/>
    <w:pPr>
      <w:tabs>
        <w:tab w:val="left" w:pos="540"/>
        <w:tab w:val="left" w:pos="1080"/>
        <w:tab w:val="left" w:pos="1260"/>
        <w:tab w:val="left" w:pos="1320"/>
        <w:tab w:val="left" w:pos="1440"/>
      </w:tabs>
      <w:snapToGrid/>
      <w:spacing w:line="360" w:lineRule="auto"/>
      <w:textAlignment w:val="center"/>
    </w:pPr>
    <w:rPr>
      <w:color w:val="auto"/>
      <w:kern w:val="44"/>
    </w:rPr>
  </w:style>
  <w:style w:type="paragraph" w:customStyle="1" w:styleId="66">
    <w:name w:val="表格文字"/>
    <w:basedOn w:val="1"/>
    <w:next w:val="1"/>
    <w:qFormat/>
    <w:uiPriority w:val="0"/>
    <w:pPr>
      <w:tabs>
        <w:tab w:val="left" w:pos="540"/>
        <w:tab w:val="left" w:pos="1080"/>
        <w:tab w:val="left" w:pos="1260"/>
        <w:tab w:val="left" w:pos="1320"/>
      </w:tabs>
      <w:snapToGrid w:val="0"/>
      <w:jc w:val="center"/>
    </w:pPr>
    <w:rPr>
      <w:bCs/>
      <w:color w:val="000000"/>
      <w:kern w:val="0"/>
      <w:szCs w:val="21"/>
    </w:rPr>
  </w:style>
  <w:style w:type="paragraph" w:customStyle="1" w:styleId="67">
    <w:name w:val="样式1正文"/>
    <w:basedOn w:val="10"/>
    <w:qFormat/>
    <w:uiPriority w:val="0"/>
    <w:pPr>
      <w:spacing w:before="156" w:beforeLines="50" w:after="156" w:afterLines="50"/>
      <w:jc w:val="center"/>
    </w:pPr>
    <w:rPr>
      <w:rFonts w:ascii="仿宋_GB2312" w:eastAsia="仿宋_GB2312"/>
      <w:color w:val="000000"/>
      <w:sz w:val="24"/>
    </w:rPr>
  </w:style>
  <w:style w:type="character" w:customStyle="1" w:styleId="68">
    <w:name w:val="font81"/>
    <w:basedOn w:val="27"/>
    <w:qFormat/>
    <w:uiPriority w:val="0"/>
    <w:rPr>
      <w:rFonts w:hint="eastAsia" w:ascii="宋体" w:hAnsi="宋体" w:eastAsia="宋体" w:cs="宋体"/>
      <w:b/>
      <w:color w:val="000000"/>
      <w:sz w:val="20"/>
      <w:szCs w:val="20"/>
      <w:u w:val="none"/>
    </w:rPr>
  </w:style>
  <w:style w:type="character" w:customStyle="1" w:styleId="69">
    <w:name w:val="font121"/>
    <w:basedOn w:val="27"/>
    <w:qFormat/>
    <w:uiPriority w:val="0"/>
    <w:rPr>
      <w:rFonts w:hint="eastAsia" w:ascii="宋体" w:hAnsi="宋体" w:eastAsia="宋体" w:cs="宋体"/>
      <w:color w:val="000000"/>
      <w:sz w:val="20"/>
      <w:szCs w:val="20"/>
      <w:u w:val="none"/>
    </w:rPr>
  </w:style>
  <w:style w:type="character" w:customStyle="1" w:styleId="70">
    <w:name w:val="font171"/>
    <w:basedOn w:val="27"/>
    <w:qFormat/>
    <w:uiPriority w:val="0"/>
    <w:rPr>
      <w:rFonts w:hint="default" w:ascii="Times New Roman" w:hAnsi="Times New Roman" w:cs="Times New Roman"/>
      <w:color w:val="000000"/>
      <w:sz w:val="20"/>
      <w:szCs w:val="20"/>
      <w:u w:val="none"/>
    </w:rPr>
  </w:style>
  <w:style w:type="character" w:customStyle="1" w:styleId="71">
    <w:name w:val="font151"/>
    <w:basedOn w:val="27"/>
    <w:qFormat/>
    <w:uiPriority w:val="0"/>
    <w:rPr>
      <w:rFonts w:hint="eastAsia" w:ascii="宋体" w:hAnsi="宋体" w:eastAsia="宋体" w:cs="宋体"/>
      <w:color w:val="000000"/>
      <w:sz w:val="20"/>
      <w:szCs w:val="20"/>
      <w:u w:val="none"/>
    </w:rPr>
  </w:style>
  <w:style w:type="character" w:customStyle="1" w:styleId="72">
    <w:name w:val="font161"/>
    <w:basedOn w:val="27"/>
    <w:qFormat/>
    <w:uiPriority w:val="0"/>
    <w:rPr>
      <w:rFonts w:hint="eastAsia" w:ascii="宋体" w:hAnsi="宋体" w:eastAsia="宋体" w:cs="宋体"/>
      <w:color w:val="FF0000"/>
      <w:sz w:val="20"/>
      <w:szCs w:val="20"/>
      <w:u w:val="none"/>
    </w:rPr>
  </w:style>
  <w:style w:type="character" w:customStyle="1" w:styleId="73">
    <w:name w:val="font131"/>
    <w:basedOn w:val="27"/>
    <w:qFormat/>
    <w:uiPriority w:val="0"/>
    <w:rPr>
      <w:rFonts w:hint="eastAsia" w:ascii="宋体" w:hAnsi="宋体" w:eastAsia="宋体" w:cs="宋体"/>
      <w:color w:val="000000"/>
      <w:sz w:val="20"/>
      <w:szCs w:val="20"/>
      <w:u w:val="none"/>
    </w:rPr>
  </w:style>
  <w:style w:type="character" w:customStyle="1" w:styleId="74">
    <w:name w:val="font111"/>
    <w:basedOn w:val="27"/>
    <w:qFormat/>
    <w:uiPriority w:val="0"/>
    <w:rPr>
      <w:rFonts w:hint="eastAsia" w:ascii="宋体" w:hAnsi="宋体" w:eastAsia="宋体" w:cs="宋体"/>
      <w:b/>
      <w:color w:val="000000"/>
      <w:sz w:val="20"/>
      <w:szCs w:val="20"/>
      <w:u w:val="none"/>
    </w:rPr>
  </w:style>
  <w:style w:type="character" w:customStyle="1" w:styleId="75">
    <w:name w:val="font91"/>
    <w:basedOn w:val="27"/>
    <w:qFormat/>
    <w:uiPriority w:val="0"/>
    <w:rPr>
      <w:rFonts w:hint="eastAsia" w:ascii="宋体" w:hAnsi="宋体" w:eastAsia="宋体" w:cs="宋体"/>
      <w:color w:val="000000"/>
      <w:sz w:val="20"/>
      <w:szCs w:val="20"/>
      <w:u w:val="none"/>
    </w:rPr>
  </w:style>
  <w:style w:type="character" w:customStyle="1" w:styleId="76">
    <w:name w:val="font122"/>
    <w:basedOn w:val="27"/>
    <w:qFormat/>
    <w:uiPriority w:val="0"/>
    <w:rPr>
      <w:rFonts w:hint="eastAsia" w:ascii="宋体" w:hAnsi="宋体" w:eastAsia="宋体" w:cs="宋体"/>
      <w:color w:val="000000"/>
      <w:sz w:val="20"/>
      <w:szCs w:val="20"/>
      <w:u w:val="none"/>
    </w:rPr>
  </w:style>
  <w:style w:type="character" w:customStyle="1" w:styleId="77">
    <w:name w:val="font141"/>
    <w:basedOn w:val="27"/>
    <w:qFormat/>
    <w:uiPriority w:val="0"/>
    <w:rPr>
      <w:rFonts w:hint="eastAsia" w:ascii="宋体" w:hAnsi="宋体" w:eastAsia="宋体" w:cs="宋体"/>
      <w:color w:val="FF0000"/>
      <w:sz w:val="20"/>
      <w:szCs w:val="20"/>
      <w:u w:val="none"/>
    </w:rPr>
  </w:style>
  <w:style w:type="character" w:customStyle="1" w:styleId="78">
    <w:name w:val="font101"/>
    <w:basedOn w:val="27"/>
    <w:qFormat/>
    <w:uiPriority w:val="0"/>
    <w:rPr>
      <w:rFonts w:hint="eastAsia" w:ascii="宋体" w:hAnsi="宋体" w:eastAsia="宋体" w:cs="宋体"/>
      <w:color w:val="000000"/>
      <w:sz w:val="20"/>
      <w:szCs w:val="20"/>
      <w:u w:val="none"/>
    </w:rPr>
  </w:style>
  <w:style w:type="character" w:customStyle="1" w:styleId="79">
    <w:name w:val="font61"/>
    <w:basedOn w:val="27"/>
    <w:qFormat/>
    <w:uiPriority w:val="0"/>
    <w:rPr>
      <w:rFonts w:hint="eastAsia" w:ascii="宋体" w:hAnsi="宋体" w:eastAsia="宋体" w:cs="宋体"/>
      <w:color w:val="000000"/>
      <w:sz w:val="20"/>
      <w:szCs w:val="20"/>
      <w:u w:val="none"/>
    </w:rPr>
  </w:style>
  <w:style w:type="character" w:customStyle="1" w:styleId="80">
    <w:name w:val="标题 3 Char"/>
    <w:link w:val="2"/>
    <w:qFormat/>
    <w:uiPriority w:val="0"/>
    <w:rPr>
      <w:rFonts w:asciiTheme="minorAscii" w:hAnsiTheme="minorAscii"/>
      <w:b/>
      <w:bCs/>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oleObject" Target="embeddings/oleObject4.bin"/><Relationship Id="rId17" Type="http://schemas.openxmlformats.org/officeDocument/2006/relationships/image" Target="media/image4.wmf"/><Relationship Id="rId16" Type="http://schemas.openxmlformats.org/officeDocument/2006/relationships/oleObject" Target="embeddings/oleObject3.bin"/><Relationship Id="rId15" Type="http://schemas.openxmlformats.org/officeDocument/2006/relationships/image" Target="media/image3.wmf"/><Relationship Id="rId14" Type="http://schemas.openxmlformats.org/officeDocument/2006/relationships/oleObject" Target="embeddings/oleObject2.bin"/><Relationship Id="rId13" Type="http://schemas.openxmlformats.org/officeDocument/2006/relationships/image" Target="media/image2.wmf"/><Relationship Id="rId12" Type="http://schemas.openxmlformats.org/officeDocument/2006/relationships/oleObject" Target="embeddings/oleObject1.bin"/><Relationship Id="rId11" Type="http://schemas.openxmlformats.org/officeDocument/2006/relationships/image" Target="media/image1.wmf"/><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05D405-AAED-4724-825F-8768EC82A5F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95</Pages>
  <Words>16232</Words>
  <Characters>18409</Characters>
  <Lines>293</Lines>
  <Paragraphs>82</Paragraphs>
  <TotalTime>183</TotalTime>
  <ScaleCrop>false</ScaleCrop>
  <LinksUpToDate>false</LinksUpToDate>
  <CharactersWithSpaces>18577</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2020-08-12T20:03:00Z</dcterms:created>
  <dc:creator>admin</dc:creator>
  <cp:lastModifiedBy>jx</cp:lastModifiedBy>
  <cp:lastPrinted>2026-07-28T15:52:00Z</cp:lastPrinted>
  <dcterms:modified xsi:type="dcterms:W3CDTF">2026-09-30T17:16:21Z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6B6FE4B8699F47C7B3813643BBCA6F4B_13</vt:lpwstr>
  </property>
  <property fmtid="{D5CDD505-2E9C-101B-9397-08002B2CF9AE}" pid="4" name="KSOTemplateDocerSaveRecord">
    <vt:lpwstr>eyJoZGlkIjoiMzM2NTc5MjVjY2NkZmVmN2Y4ZTljZDFiYjI3ZjIyOGYiLCJ1c2VySWQiOiIzODY3NjU5MzYifQ==</vt:lpwstr>
  </property>
</Properties>
</file>