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8" w:lineRule="exact"/>
        <w:ind w:right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32"/>
          <w:szCs w:val="32"/>
          <w:u w:val="none"/>
          <w:shd w:val="clear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32"/>
          <w:szCs w:val="32"/>
          <w:u w:val="none"/>
          <w:shd w:val="clear"/>
          <w:vertAlign w:val="baseli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8" w:lineRule="exact"/>
        <w:jc w:val="center"/>
        <w:textAlignment w:val="auto"/>
        <w:rPr>
          <w:rFonts w:hint="eastAsia" w:ascii="方正小标宋简体" w:eastAsia="方正小标宋简体"/>
          <w:b w:val="0"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kern w:val="2"/>
          <w:sz w:val="44"/>
          <w:szCs w:val="44"/>
        </w:rPr>
        <w:t>2024耕地地力保护补贴面积汇总申报表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28"/>
          <w:szCs w:val="28"/>
          <w:u w:val="none"/>
          <w:shd w:val="clear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28"/>
          <w:szCs w:val="28"/>
          <w:u w:val="none"/>
          <w:shd w:val="clear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28"/>
          <w:szCs w:val="28"/>
          <w:u w:val="none"/>
          <w:shd w:val="clear"/>
          <w:vertAlign w:val="baseline"/>
          <w:lang w:val="en-US" w:eastAsia="zh-CN"/>
        </w:rPr>
        <w:t>汇总时间：2024年   月   日                                                                   单位：亩</w:t>
      </w:r>
    </w:p>
    <w:tbl>
      <w:tblPr>
        <w:tblStyle w:val="3"/>
        <w:tblW w:w="5292" w:type="pct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725"/>
        <w:gridCol w:w="780"/>
        <w:gridCol w:w="660"/>
        <w:gridCol w:w="840"/>
        <w:gridCol w:w="915"/>
        <w:gridCol w:w="915"/>
        <w:gridCol w:w="900"/>
        <w:gridCol w:w="856"/>
        <w:gridCol w:w="749"/>
        <w:gridCol w:w="885"/>
        <w:gridCol w:w="1095"/>
        <w:gridCol w:w="1080"/>
        <w:gridCol w:w="825"/>
        <w:gridCol w:w="855"/>
        <w:gridCol w:w="1095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农户基本情况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流转耕地面积</w:t>
            </w:r>
          </w:p>
        </w:tc>
        <w:tc>
          <w:tcPr>
            <w:tcW w:w="65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扣除面积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申报补贴面积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单位（村名）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组数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补贴户数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确权确地实测面积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土地二轮延包面积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承包的村组非承包地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流转转入的耕地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流转转出的耕地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畜牧养殖场用地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农业生产设施、附属用地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新型主体配套设施用地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非农业征占用地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长年抛荒耕地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0"/>
              </w:rPr>
              <w:t>质量达不到耕种条件耕地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zh-C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ascii="?????_GBK" w:hAnsi="?????_GBK" w:eastAsia="宋体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eastAsia" w:ascii="?????_GBK" w:hAnsi="?????_GBK" w:eastAsia="宋体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</w:rPr>
            </w:pPr>
            <w:r>
              <w:rPr>
                <w:rFonts w:ascii="方正兰亭黑_GBK" w:hAnsi="方正兰亭黑_GBK" w:eastAsia="宋体"/>
                <w:color w:val="auto"/>
                <w:kern w:val="2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exact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8" w:lineRule="exact"/>
              <w:ind w:left="0"/>
              <w:jc w:val="center"/>
              <w:rPr>
                <w:rFonts w:hint="default" w:ascii="?????_GBK" w:hAnsi="?????_GBK" w:eastAsia="宋体"/>
                <w:color w:val="auto"/>
                <w:kern w:val="2"/>
                <w:sz w:val="20"/>
                <w:szCs w:val="20"/>
                <w:lang w:val="en" w:eastAsia="en"/>
              </w:rPr>
            </w:pPr>
          </w:p>
        </w:tc>
      </w:tr>
    </w:tbl>
    <w:p/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???_GBK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D28B"/>
    <w:rsid w:val="7FFFD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2024-06-04T09:41:00Z</dcterms:created>
  <dc:creator>年轮</dc:creator>
  <cp:lastModifiedBy>年轮</cp:lastModifiedBy>
  <dcterms:modified xsi:type="dcterms:W3CDTF">2024-06-04T09:42:40Z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